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C6222F" w14:textId="61555F15" w:rsidR="003B789B" w:rsidRPr="00D757C5" w:rsidRDefault="00DC696D" w:rsidP="006D6650">
      <w:pPr>
        <w:pStyle w:val="texttitle"/>
        <w:rPr>
          <w:rFonts w:cs="Arial"/>
          <w:noProof/>
        </w:rPr>
      </w:pPr>
      <w:bookmarkStart w:id="0" w:name="_GoBack"/>
      <w:bookmarkEnd w:id="0"/>
      <w:r w:rsidRPr="00D757C5">
        <w:rPr>
          <w:rFonts w:cs="Arial"/>
          <w:noProof/>
        </w:rPr>
        <w:drawing>
          <wp:anchor distT="0" distB="0" distL="114300" distR="114300" simplePos="0" relativeHeight="251658751" behindDoc="0" locked="0" layoutInCell="1" allowOverlap="1" wp14:anchorId="6C9CCE75" wp14:editId="31786C76">
            <wp:simplePos x="0" y="0"/>
            <wp:positionH relativeFrom="column">
              <wp:posOffset>-952288</wp:posOffset>
            </wp:positionH>
            <wp:positionV relativeFrom="paragraph">
              <wp:posOffset>-2456815</wp:posOffset>
            </wp:positionV>
            <wp:extent cx="7829550" cy="2609850"/>
            <wp:effectExtent l="0" t="0" r="0" b="6350"/>
            <wp:wrapNone/>
            <wp:docPr id="5" name="Picture 4" descr="Note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s-02.png"/>
                    <pic:cNvPicPr/>
                  </pic:nvPicPr>
                  <pic:blipFill>
                    <a:blip r:embed="rId8"/>
                    <a:stretch>
                      <a:fillRect/>
                    </a:stretch>
                  </pic:blipFill>
                  <pic:spPr>
                    <a:xfrm>
                      <a:off x="0" y="0"/>
                      <a:ext cx="7829550" cy="2609850"/>
                    </a:xfrm>
                    <a:prstGeom prst="rect">
                      <a:avLst/>
                    </a:prstGeom>
                  </pic:spPr>
                </pic:pic>
              </a:graphicData>
            </a:graphic>
          </wp:anchor>
        </w:drawing>
      </w:r>
      <w:r w:rsidR="0076297C" w:rsidRPr="00D757C5">
        <w:rPr>
          <w:rFonts w:cs="Arial"/>
          <w:noProof/>
        </w:rPr>
        <mc:AlternateContent>
          <mc:Choice Requires="wps">
            <w:drawing>
              <wp:anchor distT="0" distB="0" distL="114300" distR="114300" simplePos="0" relativeHeight="251659776" behindDoc="0" locked="0" layoutInCell="1" allowOverlap="1" wp14:anchorId="35873245" wp14:editId="050500B4">
                <wp:simplePos x="0" y="0"/>
                <wp:positionH relativeFrom="column">
                  <wp:posOffset>2266950</wp:posOffset>
                </wp:positionH>
                <wp:positionV relativeFrom="paragraph">
                  <wp:posOffset>-1334135</wp:posOffset>
                </wp:positionV>
                <wp:extent cx="4400550" cy="523875"/>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5238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18F8D2" w14:textId="5F563903" w:rsidR="007F1E4A" w:rsidRPr="00E760BE" w:rsidRDefault="007F1E4A" w:rsidP="0027600A">
                            <w:pPr>
                              <w:rPr>
                                <w:sz w:val="40"/>
                                <w:szCs w:val="40"/>
                              </w:rPr>
                            </w:pPr>
                            <w:r>
                              <w:rPr>
                                <w:b/>
                                <w:color w:val="FFFFFF" w:themeColor="background1"/>
                                <w:sz w:val="40"/>
                                <w:szCs w:val="40"/>
                                <w:lang w:bidi="en-US"/>
                              </w:rPr>
                              <w:t>Global Collaboration</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73245" id="_x0000_t202" coordsize="21600,21600" o:spt="202" path="m,l,21600r21600,l21600,xe">
                <v:stroke joinstyle="miter"/>
                <v:path gradientshapeok="t" o:connecttype="rect"/>
              </v:shapetype>
              <v:shape id="Text Box 5" o:spid="_x0000_s1026" type="#_x0000_t202" style="position:absolute;margin-left:178.5pt;margin-top:-105.05pt;width:346.5pt;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" filled="f" stroked="f">
                <v:textbox>
                  <w:txbxContent>
                    <w:p w14:paraId="6518F8D2" w14:textId="5F563903" w:rsidR="007F1E4A" w:rsidRPr="00E760BE" w:rsidRDefault="007F1E4A" w:rsidP="0027600A">
                      <w:pPr>
                        <w:rPr>
                          <w:sz w:val="40"/>
                          <w:szCs w:val="40"/>
                        </w:rPr>
                      </w:pPr>
                      <w:r>
                        <w:rPr>
                          <w:b/>
                          <w:color w:val="FFFFFF" w:themeColor="background1"/>
                          <w:sz w:val="40"/>
                          <w:szCs w:val="40"/>
                          <w:lang w:bidi="en-US"/>
                        </w:rPr>
                        <w:t>Global Collaboration</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v:textbox>
              </v:shape>
            </w:pict>
          </mc:Fallback>
        </mc:AlternateContent>
      </w:r>
    </w:p>
    <w:p w14:paraId="53E78437" w14:textId="73E5A6A8" w:rsidR="004C15CC" w:rsidRPr="00D757C5" w:rsidRDefault="00DF557D" w:rsidP="00AB2904">
      <w:pPr>
        <w:pStyle w:val="Invitenote"/>
        <w:pBdr>
          <w:bottom w:val="none" w:sz="0" w:space="0" w:color="auto"/>
        </w:pBdr>
        <w:rPr>
          <w:rFonts w:cs="Arial"/>
          <w:noProof/>
          <w:lang w:bidi="en-US"/>
        </w:rPr>
      </w:pPr>
      <w:r w:rsidRPr="00D757C5">
        <w:rPr>
          <w:rFonts w:cs="Arial"/>
          <w:noProof/>
          <w:lang w:bidi="en-US"/>
        </w:rPr>
        <w:t xml:space="preserve">The </w:t>
      </w:r>
      <w:r w:rsidR="001D64C0">
        <w:rPr>
          <w:rFonts w:cs="Arial"/>
          <w:noProof/>
          <w:lang w:bidi="en-US"/>
        </w:rPr>
        <w:t>Global Collaboration</w:t>
      </w:r>
      <w:r w:rsidR="0095673D" w:rsidRPr="00D757C5">
        <w:rPr>
          <w:rFonts w:cs="Arial"/>
          <w:noProof/>
          <w:lang w:bidi="en-US"/>
        </w:rPr>
        <w:t xml:space="preserve"> </w:t>
      </w:r>
      <w:r w:rsidRPr="00D757C5">
        <w:rPr>
          <w:rFonts w:cs="Arial"/>
          <w:noProof/>
          <w:lang w:bidi="en-US"/>
        </w:rPr>
        <w:t>Café is a short blended learning experience oriented around the concepts and skills fo</w:t>
      </w:r>
      <w:r w:rsidR="007351FD" w:rsidRPr="00D757C5">
        <w:rPr>
          <w:rFonts w:cs="Arial"/>
          <w:noProof/>
          <w:lang w:bidi="en-US"/>
        </w:rPr>
        <w:t xml:space="preserve">und in the Harvard ManageMentor </w:t>
      </w:r>
      <w:r w:rsidR="001D64C0">
        <w:rPr>
          <w:rFonts w:cs="Arial"/>
          <w:noProof/>
          <w:lang w:bidi="en-US"/>
        </w:rPr>
        <w:t>Global Collaboration</w:t>
      </w:r>
      <w:r w:rsidR="006D075B">
        <w:rPr>
          <w:rFonts w:cs="Arial"/>
          <w:noProof/>
          <w:lang w:bidi="en-US"/>
        </w:rPr>
        <w:t xml:space="preserve"> </w:t>
      </w:r>
      <w:r w:rsidRPr="00D757C5">
        <w:rPr>
          <w:rFonts w:cs="Arial"/>
          <w:noProof/>
          <w:lang w:bidi="en-US"/>
        </w:rPr>
        <w:t xml:space="preserve">topic. </w:t>
      </w:r>
      <w:r w:rsidR="006778A3" w:rsidRPr="00D757C5">
        <w:rPr>
          <w:rFonts w:cs="Arial"/>
          <w:noProof/>
          <w:lang w:bidi="en-US"/>
        </w:rPr>
        <w:t xml:space="preserve">The </w:t>
      </w:r>
      <w:r w:rsidR="001D64C0">
        <w:rPr>
          <w:rFonts w:cs="Arial"/>
          <w:noProof/>
          <w:lang w:bidi="en-US"/>
        </w:rPr>
        <w:t>Global Collaboration</w:t>
      </w:r>
      <w:r w:rsidR="0095673D" w:rsidRPr="00D757C5">
        <w:rPr>
          <w:rFonts w:cs="Arial"/>
          <w:noProof/>
          <w:lang w:bidi="en-US"/>
        </w:rPr>
        <w:t xml:space="preserve"> </w:t>
      </w:r>
      <w:r w:rsidR="006778A3" w:rsidRPr="00D757C5">
        <w:rPr>
          <w:rFonts w:cs="Arial"/>
          <w:noProof/>
          <w:lang w:bidi="en-US"/>
        </w:rPr>
        <w:t>topic</w:t>
      </w:r>
      <w:r w:rsidR="004C15CC" w:rsidRPr="00D757C5">
        <w:rPr>
          <w:rFonts w:cs="Arial"/>
          <w:noProof/>
          <w:lang w:bidi="en-US"/>
        </w:rPr>
        <w:t xml:space="preserve"> will help managers:</w:t>
      </w:r>
    </w:p>
    <w:p w14:paraId="63ABDEAC" w14:textId="7785090B" w:rsidR="00B220BA" w:rsidRPr="008D5AF7" w:rsidRDefault="00B220BA" w:rsidP="004E2FBE">
      <w:pPr>
        <w:numPr>
          <w:ilvl w:val="0"/>
          <w:numId w:val="5"/>
        </w:numPr>
        <w:shd w:val="clear" w:color="auto" w:fill="FFFFFF"/>
        <w:tabs>
          <w:tab w:val="clear" w:pos="960"/>
          <w:tab w:val="num" w:pos="1260"/>
        </w:tabs>
        <w:spacing w:after="150" w:line="270" w:lineRule="atLeast"/>
        <w:ind w:left="600"/>
        <w:textAlignment w:val="baseline"/>
        <w:rPr>
          <w:rFonts w:ascii="Arial" w:eastAsia="Times New Roman" w:hAnsi="Arial" w:cs="Arial"/>
          <w:color w:val="333333"/>
          <w:sz w:val="20"/>
          <w:szCs w:val="20"/>
        </w:rPr>
      </w:pPr>
      <w:r w:rsidRPr="008D5AF7">
        <w:rPr>
          <w:rFonts w:ascii="Arial" w:eastAsia="Times New Roman" w:hAnsi="Arial" w:cs="Arial"/>
          <w:color w:val="333333"/>
          <w:sz w:val="20"/>
          <w:szCs w:val="20"/>
        </w:rPr>
        <w:t>Improve their ability to respond appropriately in a different culture</w:t>
      </w:r>
    </w:p>
    <w:p w14:paraId="538A4BB8" w14:textId="77777777" w:rsidR="00B220BA" w:rsidRPr="008D5AF7" w:rsidRDefault="00B220BA" w:rsidP="004E2FBE">
      <w:pPr>
        <w:numPr>
          <w:ilvl w:val="0"/>
          <w:numId w:val="5"/>
        </w:numPr>
        <w:shd w:val="clear" w:color="auto" w:fill="FFFFFF"/>
        <w:tabs>
          <w:tab w:val="clear" w:pos="960"/>
          <w:tab w:val="num" w:pos="1260"/>
        </w:tabs>
        <w:spacing w:after="150" w:line="270" w:lineRule="atLeast"/>
        <w:ind w:left="600"/>
        <w:textAlignment w:val="baseline"/>
        <w:rPr>
          <w:rFonts w:ascii="Arial" w:eastAsia="Times New Roman" w:hAnsi="Arial" w:cs="Arial"/>
          <w:color w:val="333333"/>
          <w:sz w:val="20"/>
          <w:szCs w:val="20"/>
        </w:rPr>
      </w:pPr>
      <w:r w:rsidRPr="008D5AF7">
        <w:rPr>
          <w:rFonts w:ascii="Arial" w:eastAsia="Times New Roman" w:hAnsi="Arial" w:cs="Arial"/>
          <w:color w:val="333333"/>
          <w:sz w:val="20"/>
          <w:szCs w:val="20"/>
        </w:rPr>
        <w:t>Build trust among global team members</w:t>
      </w:r>
    </w:p>
    <w:p w14:paraId="7B87A682" w14:textId="77777777" w:rsidR="00B220BA" w:rsidRPr="008D5AF7" w:rsidRDefault="00B220BA" w:rsidP="004E2FBE">
      <w:pPr>
        <w:numPr>
          <w:ilvl w:val="0"/>
          <w:numId w:val="5"/>
        </w:numPr>
        <w:shd w:val="clear" w:color="auto" w:fill="FFFFFF"/>
        <w:tabs>
          <w:tab w:val="clear" w:pos="960"/>
          <w:tab w:val="num" w:pos="1260"/>
        </w:tabs>
        <w:spacing w:after="150" w:line="270" w:lineRule="atLeast"/>
        <w:ind w:left="600"/>
        <w:textAlignment w:val="baseline"/>
        <w:rPr>
          <w:rFonts w:ascii="Arial" w:eastAsia="Times New Roman" w:hAnsi="Arial" w:cs="Arial"/>
          <w:color w:val="333333"/>
          <w:sz w:val="20"/>
          <w:szCs w:val="20"/>
        </w:rPr>
      </w:pPr>
      <w:r w:rsidRPr="008D5AF7">
        <w:rPr>
          <w:rFonts w:ascii="Arial" w:eastAsia="Times New Roman" w:hAnsi="Arial" w:cs="Arial"/>
          <w:color w:val="333333"/>
          <w:sz w:val="20"/>
          <w:szCs w:val="20"/>
        </w:rPr>
        <w:t>Reach agreements across cultures</w:t>
      </w:r>
    </w:p>
    <w:p w14:paraId="1E0BD32C" w14:textId="77777777" w:rsidR="00B220BA" w:rsidRPr="008D5AF7" w:rsidRDefault="00B220BA" w:rsidP="004E2FBE">
      <w:pPr>
        <w:numPr>
          <w:ilvl w:val="0"/>
          <w:numId w:val="5"/>
        </w:numPr>
        <w:shd w:val="clear" w:color="auto" w:fill="FFFFFF"/>
        <w:tabs>
          <w:tab w:val="clear" w:pos="960"/>
          <w:tab w:val="num" w:pos="1260"/>
        </w:tabs>
        <w:spacing w:after="150" w:line="270" w:lineRule="atLeast"/>
        <w:ind w:left="600"/>
        <w:textAlignment w:val="baseline"/>
        <w:rPr>
          <w:rFonts w:ascii="Arial" w:eastAsia="Times New Roman" w:hAnsi="Arial" w:cs="Arial"/>
          <w:color w:val="333333"/>
          <w:sz w:val="20"/>
          <w:szCs w:val="20"/>
        </w:rPr>
      </w:pPr>
      <w:r w:rsidRPr="008D5AF7">
        <w:rPr>
          <w:rFonts w:ascii="Arial" w:eastAsia="Times New Roman" w:hAnsi="Arial" w:cs="Arial"/>
          <w:color w:val="333333"/>
          <w:sz w:val="20"/>
          <w:szCs w:val="20"/>
        </w:rPr>
        <w:t>Minimize language barriers between global collaborators</w:t>
      </w:r>
    </w:p>
    <w:p w14:paraId="46B101E5" w14:textId="77777777" w:rsidR="00B220BA" w:rsidRPr="008D5AF7" w:rsidRDefault="00B220BA" w:rsidP="004E2FBE">
      <w:pPr>
        <w:numPr>
          <w:ilvl w:val="0"/>
          <w:numId w:val="5"/>
        </w:numPr>
        <w:shd w:val="clear" w:color="auto" w:fill="FFFFFF"/>
        <w:tabs>
          <w:tab w:val="clear" w:pos="960"/>
          <w:tab w:val="num" w:pos="1260"/>
        </w:tabs>
        <w:spacing w:after="150" w:line="270" w:lineRule="atLeast"/>
        <w:ind w:left="600"/>
        <w:textAlignment w:val="baseline"/>
        <w:rPr>
          <w:rFonts w:ascii="Arial" w:eastAsia="Times New Roman" w:hAnsi="Arial" w:cs="Arial"/>
          <w:color w:val="333333"/>
          <w:sz w:val="20"/>
          <w:szCs w:val="20"/>
        </w:rPr>
      </w:pPr>
      <w:r w:rsidRPr="008D5AF7">
        <w:rPr>
          <w:rFonts w:ascii="Arial" w:eastAsia="Times New Roman" w:hAnsi="Arial" w:cs="Arial"/>
          <w:color w:val="333333"/>
          <w:sz w:val="20"/>
          <w:szCs w:val="20"/>
        </w:rPr>
        <w:t>Overcome physical distance challenges of global collaborations</w:t>
      </w:r>
    </w:p>
    <w:p w14:paraId="0FA28FE7" w14:textId="77777777" w:rsidR="00B220BA" w:rsidRPr="008D5AF7" w:rsidRDefault="00B220BA" w:rsidP="004E2FBE">
      <w:pPr>
        <w:numPr>
          <w:ilvl w:val="0"/>
          <w:numId w:val="5"/>
        </w:numPr>
        <w:shd w:val="clear" w:color="auto" w:fill="FFFFFF"/>
        <w:tabs>
          <w:tab w:val="clear" w:pos="960"/>
          <w:tab w:val="num" w:pos="1260"/>
        </w:tabs>
        <w:spacing w:after="0" w:line="270" w:lineRule="atLeast"/>
        <w:ind w:left="605"/>
        <w:textAlignment w:val="baseline"/>
        <w:rPr>
          <w:rFonts w:ascii="Arial" w:eastAsia="Times New Roman" w:hAnsi="Arial" w:cs="Arial"/>
          <w:color w:val="333333"/>
          <w:sz w:val="20"/>
          <w:szCs w:val="20"/>
        </w:rPr>
      </w:pPr>
      <w:r w:rsidRPr="008D5AF7">
        <w:rPr>
          <w:rFonts w:ascii="Arial" w:eastAsia="Times New Roman" w:hAnsi="Arial" w:cs="Arial"/>
          <w:color w:val="333333"/>
          <w:sz w:val="20"/>
          <w:szCs w:val="20"/>
        </w:rPr>
        <w:t>Align a global team to achieve a common goal</w:t>
      </w:r>
    </w:p>
    <w:p w14:paraId="73C8072C" w14:textId="77777777" w:rsidR="004C15CC" w:rsidRPr="00AB2904" w:rsidRDefault="004C15CC" w:rsidP="00AB2904">
      <w:pPr>
        <w:pStyle w:val="Invitenote"/>
        <w:pBdr>
          <w:bottom w:val="dashed" w:sz="6" w:space="0" w:color="BFBFBF" w:themeColor="background1" w:themeShade="BF"/>
        </w:pBdr>
        <w:spacing w:before="0" w:after="0" w:line="240" w:lineRule="auto"/>
        <w:ind w:firstLine="720"/>
      </w:pPr>
    </w:p>
    <w:p w14:paraId="091A497B" w14:textId="2BDBEA55" w:rsidR="00EA3A1B" w:rsidRPr="006763C2" w:rsidRDefault="00DF557D" w:rsidP="00E760BE">
      <w:pPr>
        <w:pStyle w:val="Invitenote"/>
        <w:pBdr>
          <w:bottom w:val="none" w:sz="0" w:space="0" w:color="auto"/>
        </w:pBdr>
        <w:rPr>
          <w:rFonts w:cs="Arial"/>
          <w:noProof/>
          <w:lang w:bidi="en-US"/>
        </w:rPr>
      </w:pPr>
      <w:r w:rsidRPr="006763C2">
        <w:rPr>
          <w:rFonts w:cs="Arial"/>
          <w:noProof/>
          <w:lang w:bidi="en-US"/>
        </w:rPr>
        <w:t>The</w:t>
      </w:r>
      <w:r w:rsidR="00FA4E12" w:rsidRPr="006763C2">
        <w:rPr>
          <w:rFonts w:cs="Arial"/>
          <w:noProof/>
          <w:lang w:bidi="en-US"/>
        </w:rPr>
        <w:t xml:space="preserve"> </w:t>
      </w:r>
      <w:r w:rsidRPr="006763C2">
        <w:rPr>
          <w:rFonts w:cs="Arial"/>
          <w:noProof/>
          <w:lang w:bidi="en-US"/>
        </w:rPr>
        <w:t xml:space="preserve">learning experience </w:t>
      </w:r>
      <w:r w:rsidR="00FA4E12" w:rsidRPr="006763C2">
        <w:rPr>
          <w:rFonts w:cs="Arial"/>
          <w:noProof/>
          <w:lang w:bidi="en-US"/>
        </w:rPr>
        <w:t>has</w:t>
      </w:r>
      <w:r w:rsidRPr="006763C2">
        <w:rPr>
          <w:rFonts w:cs="Arial"/>
          <w:noProof/>
          <w:lang w:bidi="en-US"/>
        </w:rPr>
        <w:t xml:space="preserve"> three components:</w:t>
      </w:r>
    </w:p>
    <w:p w14:paraId="5081B672" w14:textId="77777777" w:rsidR="00446AE0" w:rsidRPr="00FF5D0A" w:rsidRDefault="00446AE0" w:rsidP="00446AE0">
      <w:pPr>
        <w:pStyle w:val="introtext"/>
        <w:rPr>
          <w:rFonts w:cs="Arial"/>
          <w:lang w:bidi="en-US"/>
        </w:rPr>
      </w:pPr>
      <w:r w:rsidRPr="00FF5D0A">
        <w:rPr>
          <w:rFonts w:cs="Arial"/>
          <w:noProof/>
        </w:rPr>
        <w:drawing>
          <wp:inline distT="0" distB="0" distL="0" distR="0" wp14:anchorId="0805F0E1" wp14:editId="262896B6">
            <wp:extent cx="6146800" cy="829945"/>
            <wp:effectExtent l="0" t="25400" r="0" b="590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DF5D191" w14:textId="689E2985" w:rsidR="004C15CC" w:rsidRPr="00FF5D0A" w:rsidRDefault="00446AE0" w:rsidP="00C870F3">
      <w:pPr>
        <w:pStyle w:val="introtext"/>
        <w:tabs>
          <w:tab w:val="clear" w:pos="450"/>
          <w:tab w:val="left" w:pos="900"/>
        </w:tabs>
        <w:spacing w:before="0"/>
        <w:rPr>
          <w:rFonts w:cs="Arial"/>
        </w:rPr>
      </w:pPr>
      <w:r w:rsidRPr="00FF5D0A">
        <w:rPr>
          <w:rFonts w:cs="Arial"/>
          <w:b/>
          <w:lang w:bidi="en-US"/>
        </w:rPr>
        <w:tab/>
      </w:r>
      <w:r w:rsidRPr="00FF5D0A">
        <w:rPr>
          <w:rFonts w:cs="Arial"/>
          <w:i/>
          <w:sz w:val="20"/>
          <w:lang w:bidi="en-US"/>
        </w:rPr>
        <w:t>60 to 90 minutes</w:t>
      </w:r>
      <w:r w:rsidRPr="00FF5D0A">
        <w:rPr>
          <w:rFonts w:cs="Arial"/>
          <w:i/>
          <w:sz w:val="20"/>
          <w:lang w:bidi="en-US"/>
        </w:rPr>
        <w:tab/>
      </w:r>
      <w:r w:rsidRPr="00FF5D0A">
        <w:rPr>
          <w:rFonts w:cs="Arial"/>
          <w:i/>
          <w:sz w:val="20"/>
          <w:lang w:bidi="en-US"/>
        </w:rPr>
        <w:tab/>
        <w:t>60 minutes</w:t>
      </w:r>
      <w:r w:rsidRPr="00FF5D0A">
        <w:rPr>
          <w:rFonts w:cs="Arial"/>
          <w:i/>
          <w:sz w:val="20"/>
          <w:lang w:bidi="en-US"/>
        </w:rPr>
        <w:tab/>
      </w:r>
      <w:r w:rsidRPr="00FF5D0A">
        <w:rPr>
          <w:rFonts w:cs="Arial"/>
          <w:i/>
          <w:sz w:val="20"/>
          <w:lang w:bidi="en-US"/>
        </w:rPr>
        <w:tab/>
      </w:r>
      <w:r w:rsidRPr="00FF5D0A">
        <w:rPr>
          <w:rFonts w:cs="Arial"/>
          <w:i/>
          <w:sz w:val="20"/>
          <w:lang w:bidi="en-US"/>
        </w:rPr>
        <w:tab/>
        <w:t>Ongoing</w:t>
      </w:r>
    </w:p>
    <w:p w14:paraId="03E1E589" w14:textId="7637BA24" w:rsidR="00446AE0" w:rsidRPr="00FF5D0A" w:rsidRDefault="00446AE0" w:rsidP="006678E7">
      <w:pPr>
        <w:pStyle w:val="texttitle"/>
        <w:rPr>
          <w:rFonts w:cs="Arial"/>
        </w:rPr>
      </w:pPr>
      <w:r w:rsidRPr="00FF5D0A">
        <w:rPr>
          <w:rFonts w:cs="Arial"/>
        </w:rPr>
        <w:t>Part 1</w:t>
      </w:r>
      <w:r w:rsidR="00282E12">
        <w:rPr>
          <w:rFonts w:cs="Arial"/>
        </w:rPr>
        <w:t>:</w:t>
      </w:r>
      <w:r w:rsidR="00C70B1E" w:rsidRPr="00FF5D0A">
        <w:rPr>
          <w:rFonts w:cs="Arial"/>
        </w:rPr>
        <w:t xml:space="preserve"> </w:t>
      </w:r>
      <w:r w:rsidR="008B1C96" w:rsidRPr="00FF5D0A">
        <w:rPr>
          <w:rFonts w:cs="Arial"/>
        </w:rPr>
        <w:t>P</w:t>
      </w:r>
      <w:r w:rsidR="000A527B" w:rsidRPr="00FF5D0A">
        <w:rPr>
          <w:rFonts w:cs="Arial"/>
        </w:rPr>
        <w:t>re-work (s</w:t>
      </w:r>
      <w:r w:rsidRPr="00FF5D0A">
        <w:rPr>
          <w:rFonts w:cs="Arial"/>
        </w:rPr>
        <w:t xml:space="preserve">elf-paced, </w:t>
      </w:r>
      <w:r w:rsidR="000A527B" w:rsidRPr="00FF5D0A">
        <w:rPr>
          <w:rFonts w:cs="Arial"/>
        </w:rPr>
        <w:t>i</w:t>
      </w:r>
      <w:r w:rsidRPr="00FF5D0A">
        <w:rPr>
          <w:rFonts w:cs="Arial"/>
        </w:rPr>
        <w:t>ndividual</w:t>
      </w:r>
      <w:r w:rsidR="000A527B" w:rsidRPr="00FF5D0A">
        <w:rPr>
          <w:rFonts w:cs="Arial"/>
        </w:rPr>
        <w:t>)</w:t>
      </w:r>
    </w:p>
    <w:p w14:paraId="0C2F59AB" w14:textId="5E17A370" w:rsidR="00AB3A40" w:rsidRPr="00FF5D0A" w:rsidRDefault="00AB3A40" w:rsidP="00AB3A40">
      <w:pPr>
        <w:pStyle w:val="text"/>
        <w:rPr>
          <w:rFonts w:cs="Arial"/>
        </w:rPr>
      </w:pPr>
      <w:r w:rsidRPr="00FF5D0A">
        <w:rPr>
          <w:rFonts w:cs="Arial"/>
        </w:rPr>
        <w:t xml:space="preserve">Before the live </w:t>
      </w:r>
      <w:r w:rsidR="000A527B" w:rsidRPr="00FF5D0A">
        <w:rPr>
          <w:rFonts w:cs="Arial"/>
        </w:rPr>
        <w:t xml:space="preserve">Café </w:t>
      </w:r>
      <w:r w:rsidRPr="00FF5D0A">
        <w:rPr>
          <w:rFonts w:cs="Arial"/>
        </w:rPr>
        <w:t>session, participants are expected to complete the following assignments:</w:t>
      </w:r>
    </w:p>
    <w:p w14:paraId="61AA77F2" w14:textId="617BB71A" w:rsidR="004E2FBE" w:rsidRPr="004E2FBE" w:rsidRDefault="00AB3A40" w:rsidP="004E2FBE">
      <w:pPr>
        <w:pStyle w:val="introbullet"/>
      </w:pPr>
      <w:r w:rsidRPr="004E2FBE">
        <w:t xml:space="preserve">Review the following online lessons from the Harvard ManageMentor </w:t>
      </w:r>
      <w:r w:rsidR="001D64C0" w:rsidRPr="004E2FBE">
        <w:t>Global Collaboration</w:t>
      </w:r>
      <w:r w:rsidR="00AB23FB" w:rsidRPr="004E2FBE">
        <w:t xml:space="preserve"> </w:t>
      </w:r>
      <w:r w:rsidRPr="004E2FBE">
        <w:t>topic:</w:t>
      </w:r>
    </w:p>
    <w:p w14:paraId="13C57875" w14:textId="1A381256" w:rsidR="00AB3A40" w:rsidRPr="00FF5D0A" w:rsidRDefault="00DF305C" w:rsidP="001A1090">
      <w:pPr>
        <w:pStyle w:val="dashpoint"/>
      </w:pPr>
      <w:r>
        <w:t>Do Business Across Borders</w:t>
      </w:r>
    </w:p>
    <w:p w14:paraId="19AADE8C" w14:textId="74243133" w:rsidR="00AB3A40" w:rsidRDefault="00DF305C" w:rsidP="001A1090">
      <w:pPr>
        <w:pStyle w:val="dashpoint"/>
      </w:pPr>
      <w:r>
        <w:t>Boost Your Cultural Intelligence</w:t>
      </w:r>
    </w:p>
    <w:p w14:paraId="7A5D6B5F" w14:textId="0AA3151C" w:rsidR="00DF305C" w:rsidRPr="00FF5D0A" w:rsidRDefault="00DF305C" w:rsidP="001A1090">
      <w:pPr>
        <w:pStyle w:val="dashpoint"/>
      </w:pPr>
      <w:r>
        <w:t>Build Trust Among Collaborators</w:t>
      </w:r>
    </w:p>
    <w:p w14:paraId="4CF8BBAB" w14:textId="2B806811" w:rsidR="0095673D" w:rsidRPr="00FF5D0A" w:rsidRDefault="00DF305C" w:rsidP="001A1090">
      <w:pPr>
        <w:pStyle w:val="dashpoint"/>
      </w:pPr>
      <w:r>
        <w:t>Negotiate Across Cultures</w:t>
      </w:r>
    </w:p>
    <w:p w14:paraId="32124E5C" w14:textId="7825156F" w:rsidR="0095673D" w:rsidRPr="00FF5D0A" w:rsidRDefault="00DF305C" w:rsidP="001A1090">
      <w:pPr>
        <w:pStyle w:val="dashpoint"/>
      </w:pPr>
      <w:r>
        <w:t>Overcome Language Barriers</w:t>
      </w:r>
    </w:p>
    <w:p w14:paraId="0354F418" w14:textId="41B44B8B" w:rsidR="0095673D" w:rsidRPr="006763C2" w:rsidRDefault="00DF305C" w:rsidP="001A1090">
      <w:pPr>
        <w:pStyle w:val="dashpoint"/>
      </w:pPr>
      <w:r>
        <w:lastRenderedPageBreak/>
        <w:t>Transcend Physical Distance</w:t>
      </w:r>
    </w:p>
    <w:p w14:paraId="54F90F1A" w14:textId="3CC2F607" w:rsidR="0095673D" w:rsidRPr="006763C2" w:rsidRDefault="00DF305C" w:rsidP="001A1090">
      <w:pPr>
        <w:pStyle w:val="dashpoint"/>
      </w:pPr>
      <w:r>
        <w:t>Align a Global Team</w:t>
      </w:r>
    </w:p>
    <w:p w14:paraId="4F03B612" w14:textId="77777777" w:rsidR="0095673D" w:rsidRPr="006763C2" w:rsidRDefault="0095673D" w:rsidP="00210A6C">
      <w:pPr>
        <w:pStyle w:val="dashpoint"/>
        <w:numPr>
          <w:ilvl w:val="0"/>
          <w:numId w:val="0"/>
        </w:numPr>
        <w:ind w:left="1080"/>
      </w:pPr>
    </w:p>
    <w:p w14:paraId="4FDAFB37" w14:textId="222337AF" w:rsidR="00F07F87" w:rsidRDefault="00AB3A40" w:rsidP="004E2FBE">
      <w:pPr>
        <w:pStyle w:val="introbullet"/>
        <w:numPr>
          <w:ilvl w:val="0"/>
          <w:numId w:val="6"/>
        </w:numPr>
      </w:pPr>
      <w:r w:rsidRPr="006763C2">
        <w:t xml:space="preserve">Complete the online comprehension test from the Harvard ManageMentor </w:t>
      </w:r>
      <w:r w:rsidR="001D64C0">
        <w:t>Global Collaboration</w:t>
      </w:r>
      <w:r w:rsidRPr="00261B31">
        <w:t xml:space="preserve"> topic</w:t>
      </w:r>
    </w:p>
    <w:p w14:paraId="6C285F18" w14:textId="48B19C5B" w:rsidR="00F07F87" w:rsidRDefault="00F07F87" w:rsidP="004E2FBE">
      <w:pPr>
        <w:pStyle w:val="introbullet"/>
        <w:numPr>
          <w:ilvl w:val="0"/>
          <w:numId w:val="6"/>
        </w:numPr>
      </w:pPr>
      <w:r>
        <w:t>Complete the tool “</w:t>
      </w:r>
      <w:r w:rsidRPr="00F80EDC">
        <w:rPr>
          <w:noProof/>
        </w:rPr>
        <w:t>Worksheet for Understanding Another Cultu</w:t>
      </w:r>
      <w:r>
        <w:rPr>
          <w:noProof/>
        </w:rPr>
        <w:t>re</w:t>
      </w:r>
      <w:r w:rsidR="003E1997">
        <w:rPr>
          <w:noProof/>
        </w:rPr>
        <w:t>,</w:t>
      </w:r>
      <w:r>
        <w:rPr>
          <w:noProof/>
        </w:rPr>
        <w:t>” focusing on participant’s own culture</w:t>
      </w:r>
    </w:p>
    <w:p w14:paraId="33442515" w14:textId="54682857" w:rsidR="00824C32" w:rsidRDefault="00C61231" w:rsidP="004E2FBE">
      <w:pPr>
        <w:pStyle w:val="introbullet"/>
        <w:numPr>
          <w:ilvl w:val="0"/>
          <w:numId w:val="6"/>
        </w:numPr>
      </w:pPr>
      <w:r>
        <w:t xml:space="preserve">Read </w:t>
      </w:r>
      <w:r w:rsidRPr="00C61231">
        <w:rPr>
          <w:i/>
        </w:rPr>
        <w:t>From the Collection</w:t>
      </w:r>
      <w:r>
        <w:t xml:space="preserve"> article “Cultural Intelligence” in the Lesson “Boost Your Cultural Intelligence”</w:t>
      </w:r>
    </w:p>
    <w:p w14:paraId="3AE07782" w14:textId="77777777" w:rsidR="004E2FBE" w:rsidRPr="00D757C5" w:rsidRDefault="004E2FBE" w:rsidP="004E2FBE"/>
    <w:p w14:paraId="34832406" w14:textId="6EEF7254" w:rsidR="00DF557D" w:rsidRPr="006763C2" w:rsidRDefault="00DF557D" w:rsidP="007351FD">
      <w:pPr>
        <w:pStyle w:val="texttitle"/>
        <w:rPr>
          <w:rFonts w:cs="Arial"/>
        </w:rPr>
      </w:pPr>
      <w:r w:rsidRPr="006763C2">
        <w:rPr>
          <w:rFonts w:cs="Arial"/>
        </w:rPr>
        <w:t>Part 2</w:t>
      </w:r>
      <w:r w:rsidR="00282E12">
        <w:rPr>
          <w:rFonts w:cs="Arial"/>
        </w:rPr>
        <w:t>:</w:t>
      </w:r>
      <w:r w:rsidR="000A527B" w:rsidRPr="006763C2">
        <w:rPr>
          <w:rFonts w:cs="Arial"/>
        </w:rPr>
        <w:t xml:space="preserve"> Café</w:t>
      </w:r>
      <w:r w:rsidR="00057A98" w:rsidRPr="006763C2">
        <w:rPr>
          <w:rFonts w:cs="Arial"/>
        </w:rPr>
        <w:t xml:space="preserve"> session</w:t>
      </w:r>
      <w:r w:rsidR="000A527B" w:rsidRPr="006763C2">
        <w:rPr>
          <w:rFonts w:cs="Arial"/>
        </w:rPr>
        <w:t xml:space="preserve"> (l</w:t>
      </w:r>
      <w:r w:rsidRPr="006763C2">
        <w:rPr>
          <w:rFonts w:cs="Arial"/>
        </w:rPr>
        <w:t xml:space="preserve">ive, </w:t>
      </w:r>
      <w:r w:rsidR="000A527B" w:rsidRPr="006763C2">
        <w:rPr>
          <w:rFonts w:cs="Arial"/>
        </w:rPr>
        <w:t>g</w:t>
      </w:r>
      <w:r w:rsidRPr="006763C2">
        <w:rPr>
          <w:rFonts w:cs="Arial"/>
        </w:rPr>
        <w:t>roup</w:t>
      </w:r>
      <w:r w:rsidR="000A527B" w:rsidRPr="006763C2">
        <w:rPr>
          <w:rFonts w:cs="Arial"/>
        </w:rPr>
        <w:t>)</w:t>
      </w:r>
    </w:p>
    <w:p w14:paraId="47E722EC" w14:textId="50559144" w:rsidR="00FA4E12" w:rsidRPr="006763C2" w:rsidRDefault="00AB3A40" w:rsidP="004E2FBE">
      <w:pPr>
        <w:pStyle w:val="introtext"/>
        <w:spacing w:before="0"/>
      </w:pPr>
      <w:r w:rsidRPr="006763C2">
        <w:t xml:space="preserve">The </w:t>
      </w:r>
      <w:r w:rsidR="000A527B" w:rsidRPr="006763C2">
        <w:t xml:space="preserve">Café </w:t>
      </w:r>
      <w:r w:rsidRPr="006763C2">
        <w:t>session represents the core element of the learning experience. The session provide</w:t>
      </w:r>
      <w:r w:rsidR="00FA4E12" w:rsidRPr="006763C2">
        <w:t>s</w:t>
      </w:r>
      <w:r w:rsidRPr="006763C2">
        <w:t xml:space="preserve"> an opportunity for managers to:</w:t>
      </w:r>
    </w:p>
    <w:p w14:paraId="62C9CD78" w14:textId="77777777" w:rsidR="00AB3A40" w:rsidRPr="004E2FBE" w:rsidRDefault="00AB3A40" w:rsidP="004E2FBE">
      <w:pPr>
        <w:pStyle w:val="introbullet"/>
      </w:pPr>
      <w:r w:rsidRPr="004E2FBE">
        <w:t>Exchange ideas and questions with others</w:t>
      </w:r>
    </w:p>
    <w:p w14:paraId="72DC5B05" w14:textId="77777777" w:rsidR="00AB3A40" w:rsidRPr="004E2FBE" w:rsidRDefault="00AB3A40" w:rsidP="004E2FBE">
      <w:pPr>
        <w:pStyle w:val="introbullet"/>
      </w:pPr>
      <w:r w:rsidRPr="004E2FBE">
        <w:t>Discuss the context of how concepts and skills apply in the workplace</w:t>
      </w:r>
    </w:p>
    <w:p w14:paraId="0A9CB446" w14:textId="77777777" w:rsidR="00AB3A40" w:rsidRPr="004E2FBE" w:rsidRDefault="00AB3A40" w:rsidP="004E2FBE">
      <w:pPr>
        <w:pStyle w:val="introbullet"/>
      </w:pPr>
      <w:r w:rsidRPr="004E2FBE">
        <w:t>Practice and begin application of those concepts and skills</w:t>
      </w:r>
    </w:p>
    <w:p w14:paraId="5AC54B10" w14:textId="76D8C1D4" w:rsidR="00C726F7" w:rsidRPr="004E2FBE" w:rsidRDefault="00AB3A40" w:rsidP="00BD4E79">
      <w:pPr>
        <w:pStyle w:val="introbullet"/>
      </w:pPr>
      <w:r w:rsidRPr="004E2FBE">
        <w:t>Build momentum and support for applying the concepts and skills in the workplace</w:t>
      </w:r>
    </w:p>
    <w:p w14:paraId="14044346" w14:textId="15208E5E" w:rsidR="00C726F7" w:rsidRPr="006763C2" w:rsidRDefault="00C726F7" w:rsidP="004E2FBE">
      <w:pPr>
        <w:pStyle w:val="introtext"/>
      </w:pPr>
      <w:r w:rsidRPr="006763C2">
        <w:t xml:space="preserve">The </w:t>
      </w:r>
      <w:r w:rsidR="000A527B" w:rsidRPr="006763C2">
        <w:t xml:space="preserve">Café </w:t>
      </w:r>
      <w:r w:rsidRPr="006763C2">
        <w:t xml:space="preserve">session </w:t>
      </w:r>
      <w:r w:rsidR="00870F90" w:rsidRPr="006763C2">
        <w:t>focuses specifically on the following</w:t>
      </w:r>
      <w:r w:rsidR="00CD098E" w:rsidRPr="006763C2">
        <w:t xml:space="preserve"> concepts and</w:t>
      </w:r>
      <w:r w:rsidR="00870F90" w:rsidRPr="006763C2">
        <w:t xml:space="preserve"> tasks from the </w:t>
      </w:r>
      <w:r w:rsidR="00061B52">
        <w:t>Global Collaboration</w:t>
      </w:r>
      <w:r w:rsidR="00870F90" w:rsidRPr="006763C2">
        <w:t xml:space="preserve"> topic</w:t>
      </w:r>
      <w:r w:rsidRPr="006763C2">
        <w:t>:</w:t>
      </w:r>
    </w:p>
    <w:p w14:paraId="249FCB74" w14:textId="4C7D8B8F" w:rsidR="001B20BC" w:rsidRPr="004E2FBE" w:rsidRDefault="00D814CD" w:rsidP="004E2FBE">
      <w:pPr>
        <w:pStyle w:val="introbullet"/>
        <w:rPr>
          <w:rFonts w:eastAsia="Calibri"/>
        </w:rPr>
      </w:pPr>
      <w:r w:rsidRPr="004E2FBE">
        <w:rPr>
          <w:rFonts w:eastAsia="Calibri"/>
        </w:rPr>
        <w:t>Boost cultural intelligence</w:t>
      </w:r>
    </w:p>
    <w:p w14:paraId="1801EFC4" w14:textId="53F2C944" w:rsidR="00D814CD" w:rsidRPr="004E2FBE" w:rsidRDefault="00D814CD" w:rsidP="004E2FBE">
      <w:pPr>
        <w:pStyle w:val="introbullet"/>
      </w:pPr>
      <w:r w:rsidRPr="004E2FBE">
        <w:rPr>
          <w:rFonts w:eastAsia="Calibri"/>
        </w:rPr>
        <w:t>Understand culture</w:t>
      </w:r>
    </w:p>
    <w:p w14:paraId="7644E22E" w14:textId="6FCDA19B" w:rsidR="005768EA" w:rsidRPr="004E2FBE" w:rsidRDefault="00D814CD" w:rsidP="004E2FBE">
      <w:pPr>
        <w:pStyle w:val="introbullet"/>
      </w:pPr>
      <w:r w:rsidRPr="004E2FBE">
        <w:rPr>
          <w:rFonts w:eastAsia="Calibri"/>
        </w:rPr>
        <w:t xml:space="preserve">Use cultural intelligence to enhance </w:t>
      </w:r>
      <w:r w:rsidR="005768EA" w:rsidRPr="004E2FBE">
        <w:rPr>
          <w:rFonts w:eastAsia="Calibri"/>
        </w:rPr>
        <w:t>team collaboration</w:t>
      </w:r>
    </w:p>
    <w:p w14:paraId="7B022687" w14:textId="0B1CBD9E" w:rsidR="0075558C" w:rsidRPr="004E2FBE" w:rsidRDefault="00D814CD" w:rsidP="004E2FBE">
      <w:pPr>
        <w:pStyle w:val="introbullet"/>
      </w:pPr>
      <w:r w:rsidRPr="004E2FBE">
        <w:t>Understand language challenges</w:t>
      </w:r>
    </w:p>
    <w:p w14:paraId="2695091C" w14:textId="3E8B434D" w:rsidR="001D64C0" w:rsidRPr="004E2FBE" w:rsidRDefault="001D64C0" w:rsidP="004E2FBE">
      <w:pPr>
        <w:pStyle w:val="introbullet"/>
      </w:pPr>
      <w:r w:rsidRPr="004E2FBE">
        <w:rPr>
          <w:rFonts w:eastAsia="Calibri"/>
        </w:rPr>
        <w:t>Overcome language barriers</w:t>
      </w:r>
    </w:p>
    <w:p w14:paraId="408D5565" w14:textId="0B4A54A7" w:rsidR="00D814CD" w:rsidRPr="004E2FBE" w:rsidRDefault="00D814CD" w:rsidP="004E2FBE">
      <w:pPr>
        <w:pStyle w:val="introbullet"/>
      </w:pPr>
      <w:r w:rsidRPr="004E2FBE">
        <w:t>Foster inclusive communication</w:t>
      </w:r>
    </w:p>
    <w:p w14:paraId="3558DD93" w14:textId="31C22284" w:rsidR="00E9792B" w:rsidRPr="004E2FBE" w:rsidRDefault="00345272" w:rsidP="004E2FBE">
      <w:pPr>
        <w:pStyle w:val="introtext"/>
      </w:pPr>
      <w:r w:rsidRPr="004E2FBE">
        <w:t>Facilitating the Café session as outlined should take approximately 60 minutes</w:t>
      </w:r>
      <w:r w:rsidR="007351FD" w:rsidRPr="004E2FBE">
        <w:t>. If the facilitator prefers a shorter session or wishes to spend more time on a specific concept or activity, he or she may want to cover only those concepts and activities that are most relevant to the group.</w:t>
      </w:r>
    </w:p>
    <w:p w14:paraId="2D392A18" w14:textId="77777777" w:rsidR="004F35FD" w:rsidRDefault="004F35FD" w:rsidP="004F35FD">
      <w:pPr>
        <w:pStyle w:val="text"/>
        <w:rPr>
          <w:rFonts w:cs="Arial"/>
        </w:rPr>
      </w:pPr>
    </w:p>
    <w:p w14:paraId="7D94F7C7" w14:textId="77777777" w:rsidR="004E2FBE" w:rsidRDefault="004E2FBE" w:rsidP="004F35FD">
      <w:pPr>
        <w:pStyle w:val="text"/>
        <w:rPr>
          <w:rFonts w:cs="Arial"/>
        </w:rPr>
      </w:pPr>
    </w:p>
    <w:p w14:paraId="56F28999" w14:textId="77777777" w:rsidR="004E2FBE" w:rsidRDefault="004E2FBE" w:rsidP="004F35FD">
      <w:pPr>
        <w:pStyle w:val="text"/>
        <w:rPr>
          <w:rFonts w:cs="Arial"/>
        </w:rPr>
      </w:pPr>
    </w:p>
    <w:p w14:paraId="3195999C" w14:textId="77777777" w:rsidR="004E2FBE" w:rsidRDefault="004E2FBE" w:rsidP="004F35FD">
      <w:pPr>
        <w:pStyle w:val="text"/>
        <w:rPr>
          <w:rFonts w:cs="Arial"/>
        </w:rPr>
      </w:pPr>
    </w:p>
    <w:p w14:paraId="5332C625" w14:textId="77777777" w:rsidR="004E2FBE" w:rsidRPr="006763C2" w:rsidRDefault="004E2FBE" w:rsidP="004F35FD">
      <w:pPr>
        <w:pStyle w:val="text"/>
        <w:rPr>
          <w:rFonts w:cs="Arial"/>
        </w:rPr>
      </w:pPr>
    </w:p>
    <w:tbl>
      <w:tblPr>
        <w:tblW w:w="9540"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052"/>
        <w:gridCol w:w="5688"/>
        <w:gridCol w:w="1800"/>
      </w:tblGrid>
      <w:tr w:rsidR="00446AE0" w:rsidRPr="006763C2" w14:paraId="357D0E94" w14:textId="77777777" w:rsidTr="004B11C9">
        <w:trPr>
          <w:trHeight w:val="576"/>
          <w:tblHeader/>
        </w:trPr>
        <w:tc>
          <w:tcPr>
            <w:tcW w:w="2052" w:type="dxa"/>
            <w:tcBorders>
              <w:top w:val="nil"/>
              <w:bottom w:val="single" w:sz="12" w:space="0" w:color="FFFFFF" w:themeColor="background1"/>
            </w:tcBorders>
            <w:shd w:val="clear" w:color="auto" w:fill="D9D9D9" w:themeFill="background1" w:themeFillShade="D9"/>
            <w:vAlign w:val="center"/>
          </w:tcPr>
          <w:p w14:paraId="05109E75" w14:textId="77777777" w:rsidR="00446AE0" w:rsidRPr="006763C2" w:rsidRDefault="00E24B7A" w:rsidP="00E24B7A">
            <w:pPr>
              <w:pStyle w:val="columnheads"/>
              <w:rPr>
                <w:rFonts w:cs="Arial"/>
              </w:rPr>
            </w:pPr>
            <w:r w:rsidRPr="006763C2">
              <w:rPr>
                <w:rFonts w:cs="Arial"/>
              </w:rPr>
              <w:lastRenderedPageBreak/>
              <w:t>SECTION</w:t>
            </w:r>
          </w:p>
        </w:tc>
        <w:tc>
          <w:tcPr>
            <w:tcW w:w="5688" w:type="dxa"/>
            <w:tcBorders>
              <w:top w:val="nil"/>
              <w:bottom w:val="single" w:sz="12" w:space="0" w:color="FFFFFF" w:themeColor="background1"/>
            </w:tcBorders>
            <w:shd w:val="clear" w:color="auto" w:fill="D9D9D9" w:themeFill="background1" w:themeFillShade="D9"/>
            <w:vAlign w:val="center"/>
          </w:tcPr>
          <w:p w14:paraId="699BA9C5" w14:textId="77777777" w:rsidR="00446AE0" w:rsidRPr="006763C2" w:rsidRDefault="00E24B7A" w:rsidP="00D85B81">
            <w:pPr>
              <w:pStyle w:val="columnheads"/>
              <w:ind w:right="72"/>
              <w:rPr>
                <w:rFonts w:cs="Arial"/>
              </w:rPr>
            </w:pPr>
            <w:r w:rsidRPr="006763C2">
              <w:rPr>
                <w:rFonts w:cs="Arial"/>
              </w:rPr>
              <w:t>ACTIVITY</w:t>
            </w:r>
          </w:p>
        </w:tc>
        <w:tc>
          <w:tcPr>
            <w:tcW w:w="1800" w:type="dxa"/>
            <w:tcBorders>
              <w:top w:val="nil"/>
              <w:bottom w:val="single" w:sz="12" w:space="0" w:color="FFFFFF" w:themeColor="background1"/>
            </w:tcBorders>
            <w:shd w:val="clear" w:color="auto" w:fill="D9D9D9" w:themeFill="background1" w:themeFillShade="D9"/>
            <w:vAlign w:val="center"/>
          </w:tcPr>
          <w:p w14:paraId="13CCDE69" w14:textId="77777777" w:rsidR="00446AE0" w:rsidRPr="006763C2" w:rsidRDefault="00E24B7A" w:rsidP="00E24B7A">
            <w:pPr>
              <w:pStyle w:val="columnheads"/>
              <w:rPr>
                <w:rFonts w:cs="Arial"/>
              </w:rPr>
            </w:pPr>
            <w:r w:rsidRPr="006763C2">
              <w:rPr>
                <w:rFonts w:cs="Arial"/>
              </w:rPr>
              <w:t>TIME</w:t>
            </w:r>
          </w:p>
        </w:tc>
      </w:tr>
      <w:tr w:rsidR="00446AE0" w:rsidRPr="006763C2" w14:paraId="0334BC71" w14:textId="77777777" w:rsidTr="004B11C9">
        <w:trPr>
          <w:trHeight w:val="4445"/>
        </w:trPr>
        <w:tc>
          <w:tcPr>
            <w:tcW w:w="2052" w:type="dxa"/>
            <w:tcBorders>
              <w:top w:val="single" w:sz="12" w:space="0" w:color="FFFFFF" w:themeColor="background1"/>
            </w:tcBorders>
            <w:shd w:val="clear" w:color="auto" w:fill="F2F2F2" w:themeFill="background1" w:themeFillShade="F2"/>
          </w:tcPr>
          <w:p w14:paraId="19A51298" w14:textId="77777777" w:rsidR="00446AE0" w:rsidRPr="00D757C5" w:rsidRDefault="00446AE0" w:rsidP="00D85B81">
            <w:pPr>
              <w:pStyle w:val="text"/>
              <w:rPr>
                <w:rFonts w:cs="Arial"/>
                <w:b/>
              </w:rPr>
            </w:pPr>
            <w:r w:rsidRPr="00D757C5">
              <w:rPr>
                <w:rFonts w:cs="Arial"/>
                <w:b/>
              </w:rPr>
              <w:t>Introduction</w:t>
            </w:r>
          </w:p>
        </w:tc>
        <w:tc>
          <w:tcPr>
            <w:tcW w:w="5688" w:type="dxa"/>
            <w:tcBorders>
              <w:top w:val="single" w:sz="12" w:space="0" w:color="FFFFFF" w:themeColor="background1"/>
            </w:tcBorders>
            <w:shd w:val="clear" w:color="auto" w:fill="F2F2F2" w:themeFill="background1" w:themeFillShade="F2"/>
            <w:tcMar>
              <w:top w:w="43" w:type="dxa"/>
              <w:left w:w="115" w:type="dxa"/>
              <w:right w:w="115" w:type="dxa"/>
            </w:tcMar>
          </w:tcPr>
          <w:p w14:paraId="6CC707FD" w14:textId="2D424B88" w:rsidR="00E02EC1" w:rsidRPr="006763C2" w:rsidRDefault="00E02EC1" w:rsidP="004E2FBE">
            <w:pPr>
              <w:pStyle w:val="introbullet"/>
            </w:pPr>
            <w:r w:rsidRPr="006763C2">
              <w:t>Show icebreaker question while participants are arriving to the session (</w:t>
            </w:r>
            <w:r w:rsidR="003E1997">
              <w:t>WHY IS EFFECTIVE GLOBAL COLLABORATION IMPORTANT TO OUR ORGANIZATION?</w:t>
            </w:r>
            <w:r w:rsidRPr="006763C2">
              <w:t>)</w:t>
            </w:r>
          </w:p>
          <w:p w14:paraId="2A8A6CA6" w14:textId="77777777" w:rsidR="00E02EC1" w:rsidRPr="006763C2" w:rsidRDefault="00E02EC1" w:rsidP="004E2FBE">
            <w:pPr>
              <w:pStyle w:val="introbullet"/>
            </w:pPr>
            <w:r w:rsidRPr="006763C2">
              <w:t>Introduce facilitators.</w:t>
            </w:r>
          </w:p>
          <w:p w14:paraId="1B76D9F9" w14:textId="77777777" w:rsidR="00E02EC1" w:rsidRPr="006763C2" w:rsidRDefault="00E02EC1" w:rsidP="004E2FBE">
            <w:pPr>
              <w:pStyle w:val="introbullet"/>
            </w:pPr>
            <w:r w:rsidRPr="006763C2">
              <w:t>Review tips for using technology during the session.</w:t>
            </w:r>
          </w:p>
          <w:p w14:paraId="21249A0A" w14:textId="2B92F808" w:rsidR="00E02EC1" w:rsidRDefault="00E02EC1" w:rsidP="004E2FBE">
            <w:pPr>
              <w:pStyle w:val="introbullet"/>
            </w:pPr>
            <w:r w:rsidRPr="006763C2">
              <w:t>Debrief icebreaker question.</w:t>
            </w:r>
          </w:p>
          <w:p w14:paraId="2849502E" w14:textId="6B8C895C" w:rsidR="00061B52" w:rsidRPr="00061B52" w:rsidRDefault="00061B52" w:rsidP="004E2FBE">
            <w:pPr>
              <w:pStyle w:val="introbullet"/>
            </w:pPr>
            <w:r w:rsidRPr="00061B52">
              <w:t>Set context: In the past, knowing how to collaborate globally was crucial only for country managers or employees taking on overseas assignments. Today, if you are like most managers, you are collaborating more and more with people</w:t>
            </w:r>
            <w:r w:rsidRPr="00881DC6">
              <w:rPr>
                <w:color w:val="333333"/>
                <w:shd w:val="clear" w:color="auto" w:fill="FFFFFF"/>
              </w:rPr>
              <w:t xml:space="preserve"> </w:t>
            </w:r>
            <w:r w:rsidRPr="00061B52">
              <w:t>from other countries in your daily work.</w:t>
            </w:r>
          </w:p>
          <w:p w14:paraId="14362616" w14:textId="77777777" w:rsidR="00446AE0" w:rsidRPr="006763C2" w:rsidRDefault="00E02EC1" w:rsidP="004E2FBE">
            <w:pPr>
              <w:pStyle w:val="introbullet"/>
            </w:pPr>
            <w:r w:rsidRPr="006763C2">
              <w:t>Review session objectives.</w:t>
            </w:r>
          </w:p>
        </w:tc>
        <w:tc>
          <w:tcPr>
            <w:tcW w:w="1800" w:type="dxa"/>
            <w:tcBorders>
              <w:top w:val="single" w:sz="12" w:space="0" w:color="FFFFFF" w:themeColor="background1"/>
            </w:tcBorders>
            <w:shd w:val="clear" w:color="auto" w:fill="F2F2F2" w:themeFill="background1" w:themeFillShade="F2"/>
            <w:tcMar>
              <w:top w:w="43" w:type="dxa"/>
              <w:left w:w="115" w:type="dxa"/>
              <w:right w:w="115" w:type="dxa"/>
            </w:tcMar>
          </w:tcPr>
          <w:p w14:paraId="7C5FD329" w14:textId="77777777" w:rsidR="00446AE0" w:rsidRPr="006763C2" w:rsidRDefault="00446AE0" w:rsidP="00D85B81">
            <w:pPr>
              <w:pStyle w:val="text"/>
              <w:rPr>
                <w:rFonts w:cs="Arial"/>
              </w:rPr>
            </w:pPr>
            <w:r w:rsidRPr="006763C2">
              <w:rPr>
                <w:rFonts w:cs="Arial"/>
              </w:rPr>
              <w:t>8 minutes</w:t>
            </w:r>
          </w:p>
        </w:tc>
      </w:tr>
      <w:tr w:rsidR="00446AE0" w:rsidRPr="00FF5D0A" w14:paraId="0512208A" w14:textId="77777777" w:rsidTr="00941358">
        <w:trPr>
          <w:trHeight w:val="114"/>
        </w:trPr>
        <w:tc>
          <w:tcPr>
            <w:tcW w:w="2052" w:type="dxa"/>
            <w:shd w:val="clear" w:color="auto" w:fill="F2F2F2" w:themeFill="background1" w:themeFillShade="F2"/>
          </w:tcPr>
          <w:p w14:paraId="414ACEA0" w14:textId="77777777" w:rsidR="00B4582F" w:rsidRPr="00D757C5" w:rsidRDefault="00446AE0" w:rsidP="00B4582F">
            <w:pPr>
              <w:pStyle w:val="text"/>
              <w:rPr>
                <w:rFonts w:cs="Arial"/>
                <w:b/>
              </w:rPr>
            </w:pPr>
            <w:r w:rsidRPr="00D757C5">
              <w:rPr>
                <w:rFonts w:cs="Arial"/>
                <w:b/>
              </w:rPr>
              <w:t xml:space="preserve">Skill focus: </w:t>
            </w:r>
          </w:p>
          <w:p w14:paraId="192DE7EF" w14:textId="12A2B0EA" w:rsidR="00446AE0" w:rsidRPr="006763C2" w:rsidRDefault="004B64CE" w:rsidP="00B4582F">
            <w:pPr>
              <w:pStyle w:val="text"/>
              <w:rPr>
                <w:rFonts w:cs="Arial"/>
                <w:b/>
              </w:rPr>
            </w:pPr>
            <w:r>
              <w:rPr>
                <w:rFonts w:eastAsia="Calibri" w:cs="Arial"/>
                <w:b/>
              </w:rPr>
              <w:t>Build cultural intelligence</w:t>
            </w:r>
          </w:p>
        </w:tc>
        <w:tc>
          <w:tcPr>
            <w:tcW w:w="5688" w:type="dxa"/>
            <w:shd w:val="clear" w:color="auto" w:fill="F2F2F2" w:themeFill="background1" w:themeFillShade="F2"/>
          </w:tcPr>
          <w:p w14:paraId="11278E1A" w14:textId="138A11AB" w:rsidR="00E02EC1" w:rsidRPr="006763C2" w:rsidRDefault="00B4582F" w:rsidP="004E2FBE">
            <w:pPr>
              <w:pStyle w:val="firsttablebullet"/>
              <w:numPr>
                <w:ilvl w:val="0"/>
                <w:numId w:val="2"/>
              </w:numPr>
            </w:pPr>
            <w:r w:rsidRPr="006763C2">
              <w:t xml:space="preserve">Facilitate </w:t>
            </w:r>
            <w:r w:rsidR="004B64CE">
              <w:t>debrief</w:t>
            </w:r>
            <w:r w:rsidR="004B64CE" w:rsidRPr="006763C2">
              <w:t xml:space="preserve"> </w:t>
            </w:r>
            <w:r w:rsidRPr="006763C2">
              <w:t xml:space="preserve">activity: </w:t>
            </w:r>
            <w:r w:rsidR="004B64CE">
              <w:t xml:space="preserve">Understand my </w:t>
            </w:r>
            <w:r w:rsidR="00BE2F11">
              <w:t xml:space="preserve">own </w:t>
            </w:r>
            <w:r w:rsidR="004B64CE">
              <w:t>culture</w:t>
            </w:r>
            <w:r w:rsidR="00BE2F11">
              <w:t>.</w:t>
            </w:r>
            <w:r w:rsidR="00945EBD" w:rsidRPr="006763C2">
              <w:t xml:space="preserve"> </w:t>
            </w:r>
            <w:r w:rsidR="00E02EC1" w:rsidRPr="006763C2">
              <w:t>Participants:</w:t>
            </w:r>
          </w:p>
          <w:p w14:paraId="6A7AD081" w14:textId="034C650E" w:rsidR="001E4FE0" w:rsidRDefault="004B64CE" w:rsidP="001E4FE0">
            <w:pPr>
              <w:pStyle w:val="dashpoint"/>
            </w:pPr>
            <w:r>
              <w:t>Revi</w:t>
            </w:r>
            <w:r w:rsidR="009B4BE8">
              <w:t>ew</w:t>
            </w:r>
            <w:r>
              <w:t xml:space="preserve"> responses to “Worksheet for Understanding Another Culture” </w:t>
            </w:r>
            <w:r w:rsidR="009B4BE8">
              <w:t>based on instructions to focus</w:t>
            </w:r>
            <w:r>
              <w:t xml:space="preserve"> on articulating elements of their own culture </w:t>
            </w:r>
          </w:p>
          <w:p w14:paraId="06B74208" w14:textId="7C2B59E7" w:rsidR="001E4FE0" w:rsidRDefault="004B64CE" w:rsidP="001E4FE0">
            <w:pPr>
              <w:pStyle w:val="dashpoint"/>
            </w:pPr>
            <w:r>
              <w:t xml:space="preserve">Discuss </w:t>
            </w:r>
            <w:r w:rsidR="009B4BE8">
              <w:t>how</w:t>
            </w:r>
            <w:r>
              <w:t xml:space="preserve"> their own cultural beliefs and behaviors could affect their relationships with potential global collaborators</w:t>
            </w:r>
          </w:p>
          <w:p w14:paraId="7282B7E8" w14:textId="74C36634" w:rsidR="009B4BE8" w:rsidRPr="00BA4231" w:rsidRDefault="009B4BE8" w:rsidP="004E2FBE">
            <w:pPr>
              <w:pStyle w:val="dashpoint"/>
              <w:numPr>
                <w:ilvl w:val="0"/>
                <w:numId w:val="2"/>
              </w:numPr>
              <w:rPr>
                <w:sz w:val="22"/>
                <w:szCs w:val="22"/>
              </w:rPr>
            </w:pPr>
            <w:r w:rsidRPr="00BA4231">
              <w:rPr>
                <w:sz w:val="22"/>
                <w:szCs w:val="22"/>
              </w:rPr>
              <w:t xml:space="preserve">Facilitate </w:t>
            </w:r>
            <w:r w:rsidR="00941358">
              <w:rPr>
                <w:sz w:val="22"/>
                <w:szCs w:val="22"/>
              </w:rPr>
              <w:t>discussion</w:t>
            </w:r>
            <w:r w:rsidR="00941358" w:rsidRPr="00BA4231">
              <w:rPr>
                <w:sz w:val="22"/>
                <w:szCs w:val="22"/>
              </w:rPr>
              <w:t xml:space="preserve"> </w:t>
            </w:r>
            <w:r w:rsidRPr="00BA4231">
              <w:rPr>
                <w:sz w:val="22"/>
                <w:szCs w:val="22"/>
              </w:rPr>
              <w:t xml:space="preserve">activity: </w:t>
            </w:r>
            <w:r w:rsidR="00B70F7B" w:rsidRPr="00BA4231">
              <w:rPr>
                <w:sz w:val="22"/>
                <w:szCs w:val="22"/>
              </w:rPr>
              <w:t xml:space="preserve">Increasing </w:t>
            </w:r>
            <w:r w:rsidR="00941358">
              <w:rPr>
                <w:sz w:val="22"/>
                <w:szCs w:val="22"/>
              </w:rPr>
              <w:t>our</w:t>
            </w:r>
            <w:r w:rsidR="00941358" w:rsidRPr="00BA4231">
              <w:rPr>
                <w:sz w:val="22"/>
                <w:szCs w:val="22"/>
              </w:rPr>
              <w:t xml:space="preserve"> </w:t>
            </w:r>
            <w:r w:rsidR="00D92FA9" w:rsidRPr="00BA4231">
              <w:rPr>
                <w:sz w:val="22"/>
                <w:szCs w:val="22"/>
              </w:rPr>
              <w:t xml:space="preserve">cultural </w:t>
            </w:r>
            <w:r w:rsidR="00B70F7B" w:rsidRPr="00BA4231">
              <w:rPr>
                <w:sz w:val="22"/>
                <w:szCs w:val="22"/>
              </w:rPr>
              <w:t>intelligence.</w:t>
            </w:r>
            <w:r w:rsidRPr="00BA4231">
              <w:rPr>
                <w:sz w:val="22"/>
                <w:szCs w:val="22"/>
              </w:rPr>
              <w:t xml:space="preserve"> Participants:</w:t>
            </w:r>
          </w:p>
          <w:p w14:paraId="72453842" w14:textId="472AB34B" w:rsidR="001E4FE0" w:rsidRDefault="00D92FA9" w:rsidP="001E4FE0">
            <w:pPr>
              <w:pStyle w:val="dashpoint"/>
            </w:pPr>
            <w:r>
              <w:t xml:space="preserve">Identify </w:t>
            </w:r>
            <w:r w:rsidR="00B70F7B">
              <w:t>a culture</w:t>
            </w:r>
            <w:r>
              <w:t xml:space="preserve"> they want to know more about, given their particular role</w:t>
            </w:r>
            <w:r w:rsidR="00941358">
              <w:t>s</w:t>
            </w:r>
          </w:p>
          <w:p w14:paraId="5ED425F3" w14:textId="778F04D3" w:rsidR="00D92FA9" w:rsidRDefault="00941358" w:rsidP="001E4FE0">
            <w:pPr>
              <w:pStyle w:val="dashpoint"/>
            </w:pPr>
            <w:r>
              <w:t>Brainstorm activities</w:t>
            </w:r>
            <w:r w:rsidR="00B70F7B">
              <w:t xml:space="preserve"> that could help them</w:t>
            </w:r>
            <w:r w:rsidR="00D92FA9">
              <w:t xml:space="preserve"> </w:t>
            </w:r>
            <w:r w:rsidR="00B70F7B">
              <w:t>learn more</w:t>
            </w:r>
            <w:r w:rsidR="00D92FA9">
              <w:t xml:space="preserve"> </w:t>
            </w:r>
            <w:r w:rsidR="00882BFB">
              <w:t xml:space="preserve">about </w:t>
            </w:r>
            <w:r w:rsidR="006C487D">
              <w:t xml:space="preserve">a specific </w:t>
            </w:r>
            <w:r w:rsidR="00B70F7B">
              <w:t>culture</w:t>
            </w:r>
          </w:p>
          <w:p w14:paraId="7B7D8670" w14:textId="44B8FB08" w:rsidR="00D10B31" w:rsidRPr="00D757C5" w:rsidRDefault="00D10B31" w:rsidP="004E2FBE">
            <w:pPr>
              <w:pStyle w:val="introbullet"/>
              <w:numPr>
                <w:ilvl w:val="0"/>
                <w:numId w:val="2"/>
              </w:numPr>
            </w:pPr>
            <w:r w:rsidRPr="006763C2">
              <w:t xml:space="preserve">Facilitate practice activity: Complete a </w:t>
            </w:r>
            <w:r w:rsidR="00282E12">
              <w:t>“What would you do?”</w:t>
            </w:r>
            <w:r w:rsidRPr="006763C2">
              <w:t xml:space="preserve"> scenario </w:t>
            </w:r>
            <w:r>
              <w:t xml:space="preserve">about using cultural knowledge to improve collaboration with global colleagues.  </w:t>
            </w:r>
            <w:r w:rsidRPr="00D757C5">
              <w:t>Participants:</w:t>
            </w:r>
          </w:p>
          <w:p w14:paraId="199B64FC" w14:textId="07832D5D" w:rsidR="00D10B31" w:rsidRDefault="00D10B31" w:rsidP="00D10B31">
            <w:pPr>
              <w:pStyle w:val="dashpoint"/>
            </w:pPr>
            <w:r>
              <w:t>Review list of information about customs and beliefs of a new vendor’s country.</w:t>
            </w:r>
          </w:p>
          <w:p w14:paraId="797DD968" w14:textId="77777777" w:rsidR="00D10B31" w:rsidRDefault="00D10B31" w:rsidP="00D10B31">
            <w:pPr>
              <w:pStyle w:val="dashpoint"/>
            </w:pPr>
            <w:r>
              <w:t>Suggest practices that would help cultivate productive relationships with the new vendor.</w:t>
            </w:r>
          </w:p>
          <w:p w14:paraId="0498A2F6" w14:textId="77777777" w:rsidR="00D10B31" w:rsidRDefault="00D10B31" w:rsidP="00D10B31">
            <w:pPr>
              <w:pStyle w:val="dashpoint"/>
              <w:numPr>
                <w:ilvl w:val="0"/>
                <w:numId w:val="0"/>
              </w:numPr>
            </w:pPr>
          </w:p>
          <w:p w14:paraId="17003C1F" w14:textId="75B0C785" w:rsidR="001E4FE0" w:rsidRPr="006763C2" w:rsidRDefault="001E4FE0" w:rsidP="00D10B31">
            <w:pPr>
              <w:pStyle w:val="dashpoint"/>
              <w:numPr>
                <w:ilvl w:val="0"/>
                <w:numId w:val="0"/>
              </w:numPr>
              <w:ind w:left="1080"/>
            </w:pPr>
          </w:p>
        </w:tc>
        <w:tc>
          <w:tcPr>
            <w:tcW w:w="1800" w:type="dxa"/>
            <w:shd w:val="clear" w:color="auto" w:fill="F2F2F2" w:themeFill="background1" w:themeFillShade="F2"/>
          </w:tcPr>
          <w:p w14:paraId="7F0F3285" w14:textId="38AC0DD5" w:rsidR="00446AE0" w:rsidRPr="006763C2" w:rsidRDefault="00941358" w:rsidP="002C012A">
            <w:pPr>
              <w:pStyle w:val="text"/>
              <w:rPr>
                <w:rFonts w:cs="Arial"/>
              </w:rPr>
            </w:pPr>
            <w:r w:rsidRPr="006763C2">
              <w:rPr>
                <w:rFonts w:cs="Arial"/>
              </w:rPr>
              <w:t>2</w:t>
            </w:r>
            <w:r w:rsidR="002C012A">
              <w:rPr>
                <w:rFonts w:cs="Arial"/>
              </w:rPr>
              <w:t xml:space="preserve">5 </w:t>
            </w:r>
            <w:r w:rsidR="00446AE0" w:rsidRPr="006763C2">
              <w:rPr>
                <w:rFonts w:cs="Arial"/>
              </w:rPr>
              <w:t>minutes</w:t>
            </w:r>
          </w:p>
        </w:tc>
      </w:tr>
      <w:tr w:rsidR="00446AE0" w:rsidRPr="006763C2" w14:paraId="1ADE5C89" w14:textId="77777777" w:rsidTr="004B11C9">
        <w:trPr>
          <w:trHeight w:val="5010"/>
        </w:trPr>
        <w:tc>
          <w:tcPr>
            <w:tcW w:w="2052" w:type="dxa"/>
            <w:shd w:val="clear" w:color="auto" w:fill="F2F2F2" w:themeFill="background1" w:themeFillShade="F2"/>
          </w:tcPr>
          <w:p w14:paraId="23770A4D" w14:textId="4F87F378" w:rsidR="00446AE0" w:rsidRPr="006763C2" w:rsidRDefault="00446AE0" w:rsidP="00D34E2C">
            <w:pPr>
              <w:pStyle w:val="text"/>
              <w:ind w:right="162"/>
              <w:rPr>
                <w:rFonts w:cs="Arial"/>
                <w:b/>
              </w:rPr>
            </w:pPr>
            <w:r w:rsidRPr="00D757C5">
              <w:rPr>
                <w:rFonts w:cs="Arial"/>
                <w:b/>
              </w:rPr>
              <w:lastRenderedPageBreak/>
              <w:t>Skill focus:</w:t>
            </w:r>
            <w:r w:rsidR="00282E12">
              <w:rPr>
                <w:rFonts w:cs="Arial"/>
                <w:b/>
              </w:rPr>
              <w:t xml:space="preserve"> </w:t>
            </w:r>
            <w:r w:rsidR="00F77D9E">
              <w:rPr>
                <w:rFonts w:cs="Arial"/>
                <w:b/>
              </w:rPr>
              <w:t>Build</w:t>
            </w:r>
            <w:r w:rsidR="00282E12">
              <w:rPr>
                <w:rFonts w:cs="Arial"/>
                <w:b/>
              </w:rPr>
              <w:t xml:space="preserve"> </w:t>
            </w:r>
            <w:r w:rsidR="00F77D9E">
              <w:rPr>
                <w:rFonts w:cs="Arial"/>
                <w:b/>
              </w:rPr>
              <w:t>trust</w:t>
            </w:r>
          </w:p>
        </w:tc>
        <w:tc>
          <w:tcPr>
            <w:tcW w:w="5688" w:type="dxa"/>
            <w:shd w:val="clear" w:color="auto" w:fill="F2F2F2" w:themeFill="background1" w:themeFillShade="F2"/>
          </w:tcPr>
          <w:p w14:paraId="44F5C4B6" w14:textId="3B9B7766" w:rsidR="005064F7" w:rsidRDefault="008064E9" w:rsidP="004E2FBE">
            <w:pPr>
              <w:pStyle w:val="introbullet"/>
              <w:numPr>
                <w:ilvl w:val="0"/>
                <w:numId w:val="2"/>
              </w:numPr>
            </w:pPr>
            <w:r w:rsidRPr="006763C2">
              <w:t xml:space="preserve">Facilitate practice activity: Complete a </w:t>
            </w:r>
            <w:r w:rsidR="00282E12">
              <w:t>“What would you do?”</w:t>
            </w:r>
            <w:r w:rsidRPr="006763C2">
              <w:t xml:space="preserve"> scenario </w:t>
            </w:r>
            <w:r w:rsidR="00BE2F11">
              <w:t xml:space="preserve">about how to </w:t>
            </w:r>
            <w:r w:rsidR="00B80F35">
              <w:t>foster trust</w:t>
            </w:r>
            <w:r w:rsidR="00BE2F11">
              <w:t xml:space="preserve"> </w:t>
            </w:r>
            <w:r w:rsidR="00B80F35">
              <w:t xml:space="preserve">on a global team. </w:t>
            </w:r>
            <w:r w:rsidR="00BE2F11">
              <w:t xml:space="preserve"> </w:t>
            </w:r>
            <w:r w:rsidRPr="00D757C5">
              <w:t>Participants:</w:t>
            </w:r>
          </w:p>
          <w:p w14:paraId="32EFE3D9" w14:textId="233FBDEE" w:rsidR="00B81ECB" w:rsidRPr="00D757C5" w:rsidRDefault="00B81ECB" w:rsidP="00BA4231">
            <w:pPr>
              <w:pStyle w:val="dashpoint"/>
            </w:pPr>
            <w:r>
              <w:t>Identify specific benefits of building trust among global team members</w:t>
            </w:r>
          </w:p>
          <w:p w14:paraId="7AF0E210" w14:textId="47A6250D" w:rsidR="00882BFB" w:rsidRDefault="00B80F35" w:rsidP="00B81ECB">
            <w:pPr>
              <w:pStyle w:val="dashpoint"/>
            </w:pPr>
            <w:r>
              <w:t xml:space="preserve">Brainstorm </w:t>
            </w:r>
            <w:r w:rsidR="00655552">
              <w:t xml:space="preserve">practices </w:t>
            </w:r>
            <w:r>
              <w:t>a manager could use</w:t>
            </w:r>
            <w:r w:rsidR="00655552">
              <w:t xml:space="preserve"> </w:t>
            </w:r>
            <w:r w:rsidR="00882BFB">
              <w:t>to build trust among members of a diverse global team.</w:t>
            </w:r>
          </w:p>
          <w:p w14:paraId="192D769E" w14:textId="564067C9" w:rsidR="00400E32" w:rsidRPr="006212D6" w:rsidRDefault="00400E32" w:rsidP="004E2FBE">
            <w:pPr>
              <w:pStyle w:val="dashpoint"/>
              <w:numPr>
                <w:ilvl w:val="0"/>
                <w:numId w:val="2"/>
              </w:numPr>
              <w:rPr>
                <w:sz w:val="22"/>
                <w:szCs w:val="22"/>
              </w:rPr>
            </w:pPr>
            <w:r w:rsidRPr="006212D6">
              <w:rPr>
                <w:sz w:val="22"/>
                <w:szCs w:val="22"/>
              </w:rPr>
              <w:t xml:space="preserve">Facilitate </w:t>
            </w:r>
            <w:r w:rsidR="00840B15">
              <w:rPr>
                <w:sz w:val="22"/>
                <w:szCs w:val="22"/>
              </w:rPr>
              <w:t>reflection</w:t>
            </w:r>
            <w:r w:rsidR="00F77D9E" w:rsidRPr="006212D6">
              <w:rPr>
                <w:sz w:val="22"/>
                <w:szCs w:val="22"/>
              </w:rPr>
              <w:t xml:space="preserve"> </w:t>
            </w:r>
            <w:r w:rsidRPr="006212D6">
              <w:rPr>
                <w:sz w:val="22"/>
                <w:szCs w:val="22"/>
              </w:rPr>
              <w:t xml:space="preserve">activity: </w:t>
            </w:r>
            <w:r w:rsidR="00882BFB">
              <w:rPr>
                <w:sz w:val="22"/>
                <w:szCs w:val="22"/>
              </w:rPr>
              <w:t>Building trust in our global collaborations</w:t>
            </w:r>
            <w:r w:rsidR="00840B15">
              <w:rPr>
                <w:sz w:val="22"/>
                <w:szCs w:val="22"/>
              </w:rPr>
              <w:t>. Participants:</w:t>
            </w:r>
          </w:p>
          <w:p w14:paraId="002C3B95" w14:textId="39641158" w:rsidR="00400E32" w:rsidRDefault="00840B15" w:rsidP="00400E32">
            <w:pPr>
              <w:pStyle w:val="dashpoint"/>
            </w:pPr>
            <w:r>
              <w:t>Reflect on a global collaboration</w:t>
            </w:r>
            <w:r w:rsidR="00400E32">
              <w:t xml:space="preserve"> </w:t>
            </w:r>
            <w:r>
              <w:t xml:space="preserve">they have experienced or observed in which members had low levels of trust </w:t>
            </w:r>
          </w:p>
          <w:p w14:paraId="6034BABB" w14:textId="52B022CC" w:rsidR="005E04E6" w:rsidRDefault="00840B15" w:rsidP="00400E32">
            <w:pPr>
              <w:pStyle w:val="dashpoint"/>
            </w:pPr>
            <w:r>
              <w:t>A</w:t>
            </w:r>
            <w:r w:rsidR="00B81ECB">
              <w:t>nalyze reasons for gaps in trust</w:t>
            </w:r>
          </w:p>
          <w:p w14:paraId="29F727EA" w14:textId="77777777" w:rsidR="005E04E6" w:rsidRDefault="005E04E6" w:rsidP="00400E32">
            <w:pPr>
              <w:pStyle w:val="dashpoint"/>
            </w:pPr>
            <w:r>
              <w:t>Consider approaches to enhance trust in this particular situation</w:t>
            </w:r>
          </w:p>
          <w:p w14:paraId="3BF66EBD" w14:textId="3A7D04D6" w:rsidR="00400E32" w:rsidRDefault="005E04E6" w:rsidP="00400E32">
            <w:pPr>
              <w:pStyle w:val="dashpoint"/>
            </w:pPr>
            <w:r>
              <w:t>Share examples of low-trust global collaborations and ideas for building trust</w:t>
            </w:r>
          </w:p>
          <w:p w14:paraId="22928815" w14:textId="6B0A18E9" w:rsidR="00373C72" w:rsidRPr="00530E45" w:rsidRDefault="00373C72" w:rsidP="00BA4231">
            <w:pPr>
              <w:pStyle w:val="dashpoint"/>
              <w:numPr>
                <w:ilvl w:val="0"/>
                <w:numId w:val="0"/>
              </w:numPr>
              <w:ind w:left="1080"/>
            </w:pPr>
          </w:p>
        </w:tc>
        <w:tc>
          <w:tcPr>
            <w:tcW w:w="1800" w:type="dxa"/>
            <w:shd w:val="clear" w:color="auto" w:fill="F2F2F2" w:themeFill="background1" w:themeFillShade="F2"/>
          </w:tcPr>
          <w:p w14:paraId="6A7B64FE" w14:textId="7FDA5ACA" w:rsidR="00446AE0" w:rsidRPr="006763C2" w:rsidRDefault="002C012A" w:rsidP="002C012A">
            <w:pPr>
              <w:pStyle w:val="text"/>
              <w:rPr>
                <w:rFonts w:cs="Arial"/>
              </w:rPr>
            </w:pPr>
            <w:r>
              <w:rPr>
                <w:rFonts w:cs="Arial"/>
              </w:rPr>
              <w:t xml:space="preserve">12 </w:t>
            </w:r>
            <w:r w:rsidR="00C17B0F">
              <w:rPr>
                <w:rFonts w:cs="Arial"/>
              </w:rPr>
              <w:t>minutes</w:t>
            </w:r>
          </w:p>
        </w:tc>
      </w:tr>
      <w:tr w:rsidR="00446AE0" w:rsidRPr="00FF5D0A" w14:paraId="61B27790" w14:textId="77777777" w:rsidTr="00C70B40">
        <w:trPr>
          <w:trHeight w:val="753"/>
        </w:trPr>
        <w:tc>
          <w:tcPr>
            <w:tcW w:w="2052" w:type="dxa"/>
            <w:shd w:val="clear" w:color="auto" w:fill="F2F2F2" w:themeFill="background1" w:themeFillShade="F2"/>
          </w:tcPr>
          <w:p w14:paraId="5F90BBB3" w14:textId="061D741B" w:rsidR="00446AE0" w:rsidRPr="006763C2" w:rsidRDefault="00446AE0" w:rsidP="006212D6">
            <w:pPr>
              <w:pStyle w:val="text"/>
              <w:ind w:right="162"/>
              <w:rPr>
                <w:rFonts w:cs="Arial"/>
                <w:b/>
              </w:rPr>
            </w:pPr>
            <w:r w:rsidRPr="00D757C5">
              <w:rPr>
                <w:rFonts w:cs="Arial"/>
                <w:b/>
              </w:rPr>
              <w:t xml:space="preserve">Skill focus: </w:t>
            </w:r>
            <w:r w:rsidR="006212D6">
              <w:rPr>
                <w:rFonts w:eastAsia="Calibri" w:cs="Arial"/>
                <w:b/>
              </w:rPr>
              <w:t>Overcome language barriers</w:t>
            </w:r>
          </w:p>
        </w:tc>
        <w:tc>
          <w:tcPr>
            <w:tcW w:w="5688" w:type="dxa"/>
            <w:shd w:val="clear" w:color="auto" w:fill="F2F2F2" w:themeFill="background1" w:themeFillShade="F2"/>
          </w:tcPr>
          <w:p w14:paraId="63B39E88" w14:textId="76D9F03D" w:rsidR="006212D6" w:rsidRPr="00D757C5" w:rsidRDefault="00333FF1" w:rsidP="004E2FBE">
            <w:pPr>
              <w:pStyle w:val="introbullet"/>
              <w:numPr>
                <w:ilvl w:val="0"/>
                <w:numId w:val="2"/>
              </w:numPr>
            </w:pPr>
            <w:r w:rsidRPr="0014652F">
              <w:t xml:space="preserve">Facilitate practice activity: </w:t>
            </w:r>
            <w:r w:rsidR="00542A14">
              <w:t>Addressing language barriers in a team. Participants:</w:t>
            </w:r>
          </w:p>
          <w:p w14:paraId="7CD5A42A" w14:textId="4733D661" w:rsidR="006212D6" w:rsidRDefault="006212D6" w:rsidP="006212D6">
            <w:pPr>
              <w:pStyle w:val="dashpoint"/>
            </w:pPr>
            <w:r>
              <w:t xml:space="preserve">Recall </w:t>
            </w:r>
            <w:r w:rsidR="00542A14">
              <w:t xml:space="preserve">an experience of being in a team where </w:t>
            </w:r>
            <w:r w:rsidR="00DC05FC">
              <w:t xml:space="preserve">they </w:t>
            </w:r>
            <w:r w:rsidR="00542A14">
              <w:t xml:space="preserve">had difficulty understanding what others were saying or being understood when </w:t>
            </w:r>
            <w:r w:rsidR="00DC05FC">
              <w:t xml:space="preserve">they </w:t>
            </w:r>
            <w:r w:rsidR="00542A14">
              <w:t>spoke</w:t>
            </w:r>
          </w:p>
          <w:p w14:paraId="654CF232" w14:textId="5C34C4A0" w:rsidR="00542A14" w:rsidRDefault="00542A14" w:rsidP="006212D6">
            <w:pPr>
              <w:pStyle w:val="dashpoint"/>
            </w:pPr>
            <w:r>
              <w:t>Identify symptoms of language barriers affecting team collaboration</w:t>
            </w:r>
            <w:r w:rsidR="00DC05FC">
              <w:t xml:space="preserve">; </w:t>
            </w:r>
            <w:r>
              <w:t>e.g.</w:t>
            </w:r>
            <w:r w:rsidR="00282E12">
              <w:t>,</w:t>
            </w:r>
            <w:r>
              <w:t xml:space="preserve"> someone who is not fluent in non-dominant language hesitates to share ideas</w:t>
            </w:r>
          </w:p>
          <w:p w14:paraId="46D27EE4" w14:textId="46BE0A52" w:rsidR="00542A14" w:rsidRDefault="00542A14" w:rsidP="006212D6">
            <w:pPr>
              <w:pStyle w:val="dashpoint"/>
            </w:pPr>
            <w:r>
              <w:t>Discuss impact of language-based communication issues on team collaboration</w:t>
            </w:r>
          </w:p>
          <w:p w14:paraId="76246F98" w14:textId="2942FE5A" w:rsidR="00542A14" w:rsidRDefault="00542A14" w:rsidP="004E2FBE">
            <w:pPr>
              <w:pStyle w:val="dashpoint"/>
              <w:numPr>
                <w:ilvl w:val="0"/>
                <w:numId w:val="2"/>
              </w:numPr>
            </w:pPr>
            <w:r w:rsidRPr="00061B52">
              <w:rPr>
                <w:sz w:val="22"/>
                <w:szCs w:val="22"/>
              </w:rPr>
              <w:t>Facilitate practice activity: Address symptoms of language barriers. Participants</w:t>
            </w:r>
            <w:r>
              <w:t>:</w:t>
            </w:r>
          </w:p>
          <w:p w14:paraId="33B41AC7" w14:textId="72C3D7C0" w:rsidR="00542A14" w:rsidRDefault="00542A14" w:rsidP="002C012A">
            <w:pPr>
              <w:pStyle w:val="dashpoint"/>
            </w:pPr>
            <w:r>
              <w:t xml:space="preserve">Share ideas about </w:t>
            </w:r>
            <w:r w:rsidR="00941358">
              <w:t>what has worked and what hasn’t worked to improv</w:t>
            </w:r>
            <w:r w:rsidR="00282E12">
              <w:t>e</w:t>
            </w:r>
            <w:r>
              <w:t xml:space="preserve"> communication in teams whose members are not equally fluent in the dominant language</w:t>
            </w:r>
          </w:p>
          <w:p w14:paraId="7ED3CEDA" w14:textId="5C2410AF" w:rsidR="00542A14" w:rsidRDefault="00542A14" w:rsidP="004E2FBE">
            <w:pPr>
              <w:pStyle w:val="dashpoint"/>
              <w:numPr>
                <w:ilvl w:val="0"/>
                <w:numId w:val="2"/>
              </w:numPr>
            </w:pPr>
            <w:r w:rsidRPr="00061B52">
              <w:rPr>
                <w:sz w:val="22"/>
                <w:szCs w:val="22"/>
              </w:rPr>
              <w:t xml:space="preserve">Review tips for communicating with </w:t>
            </w:r>
            <w:r w:rsidR="00061B52">
              <w:rPr>
                <w:sz w:val="22"/>
                <w:szCs w:val="22"/>
              </w:rPr>
              <w:t>speakers who are not fluent in the dominant business language.</w:t>
            </w:r>
          </w:p>
          <w:p w14:paraId="599CDDDE" w14:textId="47B1C042" w:rsidR="00FC3F7F" w:rsidRPr="006763C2" w:rsidRDefault="00FC3F7F" w:rsidP="00061B52">
            <w:pPr>
              <w:pStyle w:val="dashpoint"/>
              <w:numPr>
                <w:ilvl w:val="0"/>
                <w:numId w:val="0"/>
              </w:numPr>
              <w:ind w:left="1080"/>
              <w:rPr>
                <w:sz w:val="22"/>
                <w:szCs w:val="22"/>
              </w:rPr>
            </w:pPr>
          </w:p>
        </w:tc>
        <w:tc>
          <w:tcPr>
            <w:tcW w:w="1800" w:type="dxa"/>
            <w:shd w:val="clear" w:color="auto" w:fill="F2F2F2" w:themeFill="background1" w:themeFillShade="F2"/>
          </w:tcPr>
          <w:p w14:paraId="71F867C9" w14:textId="3590D76C" w:rsidR="00446AE0" w:rsidRPr="006763C2" w:rsidRDefault="002C012A" w:rsidP="002C012A">
            <w:pPr>
              <w:pStyle w:val="text"/>
              <w:rPr>
                <w:rFonts w:cs="Arial"/>
              </w:rPr>
            </w:pPr>
            <w:r w:rsidRPr="00D757C5">
              <w:rPr>
                <w:rFonts w:cs="Arial"/>
              </w:rPr>
              <w:t>1</w:t>
            </w:r>
            <w:r>
              <w:rPr>
                <w:rFonts w:cs="Arial"/>
              </w:rPr>
              <w:t>2</w:t>
            </w:r>
            <w:r w:rsidRPr="00D757C5">
              <w:rPr>
                <w:rFonts w:cs="Arial"/>
              </w:rPr>
              <w:t xml:space="preserve"> </w:t>
            </w:r>
            <w:r w:rsidR="00446AE0" w:rsidRPr="00D757C5">
              <w:rPr>
                <w:rFonts w:cs="Arial"/>
              </w:rPr>
              <w:t>minutes</w:t>
            </w:r>
          </w:p>
        </w:tc>
      </w:tr>
      <w:tr w:rsidR="00446AE0" w:rsidRPr="00FF5D0A" w14:paraId="5BCB772A" w14:textId="77777777" w:rsidTr="004B11C9">
        <w:trPr>
          <w:trHeight w:val="2112"/>
        </w:trPr>
        <w:tc>
          <w:tcPr>
            <w:tcW w:w="2052" w:type="dxa"/>
            <w:shd w:val="clear" w:color="auto" w:fill="F2F2F2" w:themeFill="background1" w:themeFillShade="F2"/>
          </w:tcPr>
          <w:p w14:paraId="16A1BEBC" w14:textId="051CB239" w:rsidR="00446AE0" w:rsidRPr="006763C2" w:rsidRDefault="00446AE0" w:rsidP="00D85B81">
            <w:pPr>
              <w:pStyle w:val="text"/>
              <w:rPr>
                <w:rFonts w:cs="Arial"/>
                <w:b/>
              </w:rPr>
            </w:pPr>
            <w:r w:rsidRPr="00D757C5">
              <w:rPr>
                <w:rFonts w:cs="Arial"/>
                <w:b/>
              </w:rPr>
              <w:lastRenderedPageBreak/>
              <w:t xml:space="preserve">Applying what you’ve learned </w:t>
            </w:r>
          </w:p>
        </w:tc>
        <w:tc>
          <w:tcPr>
            <w:tcW w:w="5688" w:type="dxa"/>
            <w:shd w:val="clear" w:color="auto" w:fill="F2F2F2" w:themeFill="background1" w:themeFillShade="F2"/>
          </w:tcPr>
          <w:p w14:paraId="561EE998" w14:textId="77777777" w:rsidR="00CE567A" w:rsidRPr="00FF5D0A" w:rsidRDefault="00CE567A" w:rsidP="004E2FBE">
            <w:pPr>
              <w:pStyle w:val="introbullet"/>
            </w:pPr>
            <w:r w:rsidRPr="00FF5D0A">
              <w:t>Review session objectives and skill areas discussed.</w:t>
            </w:r>
          </w:p>
          <w:p w14:paraId="7AF44801" w14:textId="77777777" w:rsidR="00CE567A" w:rsidRPr="00FF5D0A" w:rsidRDefault="00CE567A" w:rsidP="004E2FBE">
            <w:pPr>
              <w:pStyle w:val="introbullet"/>
            </w:pPr>
            <w:r w:rsidRPr="00FF5D0A">
              <w:t>Review directions for completing the On-the-Job section of the online Harvard ManageMentor topic, including the action plan.</w:t>
            </w:r>
          </w:p>
          <w:p w14:paraId="087B3BC3" w14:textId="77777777" w:rsidR="00446AE0" w:rsidRPr="00FF5D0A" w:rsidRDefault="00CE567A" w:rsidP="004E2FBE">
            <w:pPr>
              <w:pStyle w:val="introbullet"/>
            </w:pPr>
            <w:r w:rsidRPr="00FF5D0A">
              <w:t>Close the session.</w:t>
            </w:r>
          </w:p>
        </w:tc>
        <w:tc>
          <w:tcPr>
            <w:tcW w:w="1800" w:type="dxa"/>
            <w:shd w:val="clear" w:color="auto" w:fill="F2F2F2" w:themeFill="background1" w:themeFillShade="F2"/>
          </w:tcPr>
          <w:p w14:paraId="7AB062CE" w14:textId="367C9F9B" w:rsidR="00446AE0" w:rsidRPr="00FF5D0A" w:rsidRDefault="00C17B0F" w:rsidP="00D85B81">
            <w:pPr>
              <w:pStyle w:val="text"/>
              <w:rPr>
                <w:rFonts w:cs="Arial"/>
              </w:rPr>
            </w:pPr>
            <w:r>
              <w:rPr>
                <w:rFonts w:cs="Arial"/>
              </w:rPr>
              <w:t>3</w:t>
            </w:r>
            <w:r w:rsidRPr="00FF5D0A">
              <w:rPr>
                <w:rFonts w:cs="Arial"/>
              </w:rPr>
              <w:t xml:space="preserve"> </w:t>
            </w:r>
            <w:r w:rsidR="00446AE0" w:rsidRPr="00FF5D0A">
              <w:rPr>
                <w:rFonts w:cs="Arial"/>
              </w:rPr>
              <w:t>minutes</w:t>
            </w:r>
          </w:p>
        </w:tc>
      </w:tr>
    </w:tbl>
    <w:p w14:paraId="27A769B1" w14:textId="3DBC1954" w:rsidR="00446AE0" w:rsidRPr="00D757C5" w:rsidRDefault="00446AE0" w:rsidP="006678E7">
      <w:pPr>
        <w:pStyle w:val="texttitle"/>
        <w:rPr>
          <w:rFonts w:cs="Arial"/>
        </w:rPr>
      </w:pPr>
      <w:r w:rsidRPr="00D757C5">
        <w:rPr>
          <w:rFonts w:cs="Arial"/>
        </w:rPr>
        <w:t>Part 3</w:t>
      </w:r>
      <w:r w:rsidR="00282E12">
        <w:rPr>
          <w:rFonts w:cs="Arial"/>
        </w:rPr>
        <w:t>:</w:t>
      </w:r>
      <w:r w:rsidR="000A527B" w:rsidRPr="00D757C5">
        <w:rPr>
          <w:rFonts w:cs="Arial"/>
        </w:rPr>
        <w:t xml:space="preserve"> </w:t>
      </w:r>
      <w:r w:rsidR="00282E12">
        <w:rPr>
          <w:rFonts w:cs="Arial"/>
        </w:rPr>
        <w:t>A</w:t>
      </w:r>
      <w:r w:rsidR="000A527B" w:rsidRPr="00D757C5">
        <w:rPr>
          <w:rFonts w:cs="Arial"/>
        </w:rPr>
        <w:t>pplication (s</w:t>
      </w:r>
      <w:r w:rsidRPr="00D757C5">
        <w:rPr>
          <w:rFonts w:cs="Arial"/>
        </w:rPr>
        <w:t xml:space="preserve">elf-paced, </w:t>
      </w:r>
      <w:r w:rsidR="000A527B" w:rsidRPr="00D757C5">
        <w:rPr>
          <w:rFonts w:cs="Arial"/>
        </w:rPr>
        <w:t>i</w:t>
      </w:r>
      <w:r w:rsidRPr="00D757C5">
        <w:rPr>
          <w:rFonts w:cs="Arial"/>
        </w:rPr>
        <w:t>ndividual</w:t>
      </w:r>
      <w:r w:rsidR="000A527B" w:rsidRPr="00D757C5">
        <w:rPr>
          <w:rFonts w:cs="Arial"/>
        </w:rPr>
        <w:t>)</w:t>
      </w:r>
    </w:p>
    <w:p w14:paraId="5C8E6033" w14:textId="77777777" w:rsidR="00CE567A" w:rsidRPr="00D757C5" w:rsidRDefault="00CE567A" w:rsidP="00CE567A">
      <w:pPr>
        <w:pStyle w:val="text"/>
        <w:rPr>
          <w:rFonts w:cs="Arial"/>
        </w:rPr>
      </w:pPr>
      <w:r w:rsidRPr="00D757C5">
        <w:rPr>
          <w:rFonts w:cs="Arial"/>
        </w:rPr>
        <w:t>After the live Café session, participants are expected to complete the following assignments:</w:t>
      </w:r>
    </w:p>
    <w:p w14:paraId="5D0D6782" w14:textId="6F6811B4" w:rsidR="00E02EC1" w:rsidRPr="00FF5D0A" w:rsidRDefault="00E02EC1" w:rsidP="004E2FBE">
      <w:pPr>
        <w:pStyle w:val="introbullet"/>
      </w:pPr>
      <w:r w:rsidRPr="00D757C5">
        <w:t xml:space="preserve">Complete the online On-the-Job section in the Harvard ManageMentor </w:t>
      </w:r>
      <w:r w:rsidR="00061B52">
        <w:t>Global Collaboration</w:t>
      </w:r>
      <w:r w:rsidRPr="00D757C5">
        <w:t xml:space="preserve"> topic. The section provides learners with an opportunity to choose a skill to focus on and create an action plan for applying and developing the skill. </w:t>
      </w:r>
      <w:r w:rsidR="00FF5D0A" w:rsidRPr="00B07D4B">
        <w:rPr>
          <w:i/>
        </w:rPr>
        <w:t xml:space="preserve">Note: </w:t>
      </w:r>
      <w:r w:rsidR="007F1E4A">
        <w:t>If</w:t>
      </w:r>
      <w:r w:rsidR="00FF5D0A" w:rsidRPr="00FF5D0A">
        <w:t xml:space="preserve"> your</w:t>
      </w:r>
      <w:r w:rsidR="00FF5D0A">
        <w:t xml:space="preserve"> </w:t>
      </w:r>
      <w:r w:rsidR="00FF5D0A" w:rsidRPr="00FF5D0A">
        <w:t>organization does not include the On-the-Job section in your configuration of Harvard</w:t>
      </w:r>
      <w:r w:rsidR="00EB5ED0">
        <w:t xml:space="preserve"> </w:t>
      </w:r>
      <w:r w:rsidR="00FF5D0A" w:rsidRPr="00FF5D0A">
        <w:t>ManageMentor</w:t>
      </w:r>
      <w:r w:rsidR="00CC4E3A">
        <w:t xml:space="preserve">, </w:t>
      </w:r>
      <w:r w:rsidR="00FF5D0A" w:rsidRPr="00FF5D0A">
        <w:t>ask participants to think of two things they can do over the next</w:t>
      </w:r>
      <w:r w:rsidR="00EB5ED0">
        <w:t xml:space="preserve"> </w:t>
      </w:r>
      <w:r w:rsidR="00FF5D0A" w:rsidRPr="00FF5D0A">
        <w:t>90 days to further apply and develop their skills in this area.</w:t>
      </w:r>
    </w:p>
    <w:p w14:paraId="6648BE0A" w14:textId="406E1662" w:rsidR="00E02EC1" w:rsidRPr="00D757C5" w:rsidRDefault="00E02EC1" w:rsidP="004E2FBE">
      <w:pPr>
        <w:pStyle w:val="introbullet"/>
      </w:pPr>
      <w:r w:rsidRPr="00D757C5">
        <w:t>Execute their action plan over a specified time</w:t>
      </w:r>
      <w:r w:rsidR="00825DCB">
        <w:t xml:space="preserve"> </w:t>
      </w:r>
      <w:r w:rsidRPr="00D757C5">
        <w:t>frame (e.g., 60 or 90 days).</w:t>
      </w:r>
    </w:p>
    <w:p w14:paraId="0FAF8158" w14:textId="5A5D85F1" w:rsidR="00E02EC1" w:rsidRPr="00D757C5" w:rsidRDefault="00E02EC1" w:rsidP="004E2FBE">
      <w:pPr>
        <w:pStyle w:val="introbullet"/>
      </w:pPr>
      <w:r w:rsidRPr="00D757C5">
        <w:t>After the specified time</w:t>
      </w:r>
      <w:r w:rsidR="00825DCB">
        <w:t xml:space="preserve"> </w:t>
      </w:r>
      <w:r w:rsidRPr="00D757C5">
        <w:t xml:space="preserve">frame (e.g., 60 or 90 days), access the online On-the-Job section in the Harvard ManageMentor </w:t>
      </w:r>
      <w:r w:rsidR="00061B52">
        <w:t>Global Collaboration</w:t>
      </w:r>
      <w:r w:rsidR="00C90990" w:rsidRPr="00D757C5">
        <w:t xml:space="preserve"> </w:t>
      </w:r>
      <w:r w:rsidRPr="00D757C5">
        <w:t>topic to update the action plan and reflect on the experience.</w:t>
      </w:r>
    </w:p>
    <w:p w14:paraId="5B01BC2C" w14:textId="77777777" w:rsidR="00446AE0" w:rsidRPr="00D757C5" w:rsidRDefault="00446AE0" w:rsidP="004E2FBE">
      <w:pPr>
        <w:pStyle w:val="introbullet"/>
        <w:numPr>
          <w:ilvl w:val="0"/>
          <w:numId w:val="0"/>
        </w:numPr>
        <w:ind w:left="187"/>
      </w:pPr>
    </w:p>
    <w:sectPr w:rsidR="00446AE0" w:rsidRPr="00D757C5" w:rsidSect="004A26E3">
      <w:footerReference w:type="default" r:id="rId14"/>
      <w:headerReference w:type="first" r:id="rId15"/>
      <w:footerReference w:type="first" r:id="rId16"/>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E5519" w14:textId="77777777" w:rsidR="007577E5" w:rsidRDefault="007577E5" w:rsidP="007747E3">
      <w:pPr>
        <w:spacing w:after="0" w:line="240" w:lineRule="auto"/>
      </w:pPr>
      <w:r>
        <w:separator/>
      </w:r>
    </w:p>
  </w:endnote>
  <w:endnote w:type="continuationSeparator" w:id="0">
    <w:p w14:paraId="3E8E619E" w14:textId="77777777" w:rsidR="007577E5" w:rsidRDefault="007577E5"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EA55D" w14:textId="77777777" w:rsidR="007F1E4A" w:rsidRDefault="007F1E4A"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65F5F514" wp14:editId="27C7F648">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340AB096" w14:textId="787AC23E" w:rsidR="007F1E4A" w:rsidRDefault="007F1E4A"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B07D4B">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B07D4B">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9252F21" w14:textId="77777777" w:rsidR="007F1E4A" w:rsidRDefault="007F1E4A" w:rsidP="00034969">
    <w:pPr>
      <w:pStyle w:val="Footer"/>
      <w:tabs>
        <w:tab w:val="clear" w:pos="9360"/>
        <w:tab w:val="left" w:pos="7560"/>
        <w:tab w:val="right" w:pos="9540"/>
      </w:tabs>
      <w:rPr>
        <w:rFonts w:ascii="Arial" w:eastAsia="MS Mincho" w:hAnsi="Arial" w:cs="Arial"/>
        <w:i/>
        <w:color w:val="7F7F7F"/>
        <w:sz w:val="15"/>
        <w:szCs w:val="15"/>
      </w:rPr>
    </w:pPr>
  </w:p>
  <w:p w14:paraId="428DC726" w14:textId="3C449915" w:rsidR="007F1E4A" w:rsidRPr="00034969" w:rsidRDefault="007F1E4A">
    <w:pPr>
      <w:pStyle w:val="Footer"/>
      <w:rPr>
        <w:b/>
      </w:rPr>
    </w:pPr>
    <w:r w:rsidRPr="006D5FA5">
      <w:rPr>
        <w:rFonts w:ascii="Arial" w:eastAsia="MS Mincho" w:hAnsi="Arial" w:cs="Arial"/>
        <w:i/>
        <w:color w:val="7F7F7F"/>
        <w:sz w:val="15"/>
        <w:szCs w:val="15"/>
      </w:rPr>
      <w:t>© 201</w:t>
    </w:r>
    <w:r>
      <w:rPr>
        <w:rFonts w:ascii="Arial" w:eastAsia="MS Mincho" w:hAnsi="Arial" w:cs="Arial"/>
        <w:i/>
        <w:color w:val="7F7F7F"/>
        <w:sz w:val="15"/>
        <w:szCs w:val="15"/>
      </w:rPr>
      <w:t>5</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4AD2D" w14:textId="77777777" w:rsidR="007F1E4A" w:rsidRDefault="007F1E4A" w:rsidP="001268C7">
    <w:pPr>
      <w:pStyle w:val="Footer"/>
      <w:tabs>
        <w:tab w:val="left" w:pos="9540"/>
      </w:tabs>
      <w:rPr>
        <w:rFonts w:ascii="Arial" w:eastAsia="MS Mincho" w:hAnsi="Arial" w:cs="Arial"/>
        <w:i/>
        <w:color w:val="7F7F7F"/>
        <w:sz w:val="15"/>
        <w:szCs w:val="15"/>
      </w:rPr>
    </w:pPr>
  </w:p>
  <w:p w14:paraId="143458EA" w14:textId="77777777" w:rsidR="007F1E4A" w:rsidRDefault="007F1E4A"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1FD0625F" wp14:editId="185A8E7C">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3743BA03" w14:textId="77777777" w:rsidR="007F1E4A" w:rsidRDefault="007F1E4A" w:rsidP="006D5FA5">
    <w:pPr>
      <w:pStyle w:val="Footer"/>
      <w:rPr>
        <w:rFonts w:ascii="Arial" w:eastAsia="MS Mincho" w:hAnsi="Arial" w:cs="Arial"/>
        <w:i/>
        <w:color w:val="7F7F7F"/>
        <w:sz w:val="15"/>
        <w:szCs w:val="15"/>
      </w:rPr>
    </w:pPr>
  </w:p>
  <w:p w14:paraId="3C43E27D" w14:textId="1D1DFB36" w:rsidR="007F1E4A" w:rsidRDefault="007F1E4A"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B07D4B">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B07D4B">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1354AC08" w14:textId="77777777" w:rsidR="007F1E4A" w:rsidRDefault="007F1E4A" w:rsidP="001268C7">
    <w:pPr>
      <w:pStyle w:val="Footer"/>
      <w:tabs>
        <w:tab w:val="clear" w:pos="9360"/>
        <w:tab w:val="left" w:pos="7560"/>
        <w:tab w:val="right" w:pos="9540"/>
      </w:tabs>
      <w:rPr>
        <w:rFonts w:ascii="Arial" w:eastAsia="MS Mincho" w:hAnsi="Arial" w:cs="Arial"/>
        <w:i/>
        <w:color w:val="7F7F7F"/>
        <w:sz w:val="15"/>
        <w:szCs w:val="15"/>
      </w:rPr>
    </w:pPr>
  </w:p>
  <w:p w14:paraId="3258617C" w14:textId="5DFDC8D0" w:rsidR="007F1E4A" w:rsidRPr="006D5FA5" w:rsidRDefault="007F1E4A" w:rsidP="006D5FA5">
    <w:pPr>
      <w:pStyle w:val="Footer"/>
      <w:rPr>
        <w:b/>
      </w:rPr>
    </w:pPr>
    <w:r w:rsidRPr="006D5FA5">
      <w:rPr>
        <w:rFonts w:ascii="Arial" w:eastAsia="MS Mincho" w:hAnsi="Arial" w:cs="Arial"/>
        <w:i/>
        <w:color w:val="7F7F7F"/>
        <w:sz w:val="15"/>
        <w:szCs w:val="15"/>
      </w:rPr>
      <w:t>© 201</w:t>
    </w:r>
    <w:r>
      <w:rPr>
        <w:rFonts w:ascii="Arial" w:eastAsia="MS Mincho" w:hAnsi="Arial" w:cs="Arial"/>
        <w:i/>
        <w:color w:val="7F7F7F"/>
        <w:sz w:val="15"/>
        <w:szCs w:val="15"/>
      </w:rPr>
      <w:t>5</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B4FA1" w14:textId="77777777" w:rsidR="007577E5" w:rsidRDefault="007577E5" w:rsidP="007747E3">
      <w:pPr>
        <w:spacing w:after="0" w:line="240" w:lineRule="auto"/>
      </w:pPr>
      <w:r>
        <w:separator/>
      </w:r>
    </w:p>
  </w:footnote>
  <w:footnote w:type="continuationSeparator" w:id="0">
    <w:p w14:paraId="7E2689D5" w14:textId="77777777" w:rsidR="007577E5" w:rsidRDefault="007577E5"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4FE1" w14:textId="2C300D1F" w:rsidR="007F1E4A" w:rsidRDefault="007F1E4A" w:rsidP="00B843AB">
    <w:pPr>
      <w:pStyle w:val="Header"/>
      <w:jc w:val="center"/>
    </w:pPr>
    <w:r>
      <w:rPr>
        <w:noProof/>
      </w:rPr>
      <w:drawing>
        <wp:anchor distT="0" distB="0" distL="114300" distR="114300" simplePos="0" relativeHeight="251665407" behindDoc="0" locked="0" layoutInCell="1" allowOverlap="1" wp14:anchorId="4A74249E" wp14:editId="7FF6686A">
          <wp:simplePos x="0" y="0"/>
          <wp:positionH relativeFrom="column">
            <wp:posOffset>-914401</wp:posOffset>
          </wp:positionH>
          <wp:positionV relativeFrom="paragraph">
            <wp:posOffset>-2293620</wp:posOffset>
          </wp:positionV>
          <wp:extent cx="7778599" cy="1988820"/>
          <wp:effectExtent l="0" t="0" r="0" b="0"/>
          <wp:wrapNone/>
          <wp:docPr id="6" name="Picture 6" descr="Macintosh HD:Users:emily.audley:Box Sync:Personal Files:HMM:HMM12images:Global Collaboration:topic_landing_page_image_1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mily.audley:Box Sync:Personal Files:HMM:HMM12images:Global Collaboration:topic_landing_page_image_1400.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0290" b="9583"/>
                  <a:stretch/>
                </pic:blipFill>
                <pic:spPr bwMode="auto">
                  <a:xfrm flipH="1">
                    <a:off x="0" y="0"/>
                    <a:ext cx="7778599" cy="198882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3D3FDEDB" wp14:editId="565541F6">
          <wp:simplePos x="0" y="0"/>
          <wp:positionH relativeFrom="column">
            <wp:posOffset>-952500</wp:posOffset>
          </wp:positionH>
          <wp:positionV relativeFrom="paragraph">
            <wp:posOffset>-2286000</wp:posOffset>
          </wp:positionV>
          <wp:extent cx="7946136" cy="1965960"/>
          <wp:effectExtent l="0" t="0" r="0" b="0"/>
          <wp:wrapNone/>
          <wp:docPr id="8"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01-01.jpg"/>
                  <pic:cNvPicPr/>
                </pic:nvPicPr>
                <pic:blipFill rotWithShape="1">
                  <a:blip r:embed="rId2">
                    <a:extLst>
                      <a:ext uri="{28A0092B-C50C-407E-A947-70E740481C1C}">
                        <a14:useLocalDpi xmlns:a14="http://schemas.microsoft.com/office/drawing/2010/main" val="0"/>
                      </a:ext>
                    </a:extLst>
                  </a:blip>
                  <a:srcRect b="32184"/>
                  <a:stretch/>
                </pic:blipFill>
                <pic:spPr bwMode="auto">
                  <a:xfrm>
                    <a:off x="0" y="0"/>
                    <a:ext cx="7946136" cy="196596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E0190"/>
    <w:multiLevelType w:val="hybridMultilevel"/>
    <w:tmpl w:val="C456AC96"/>
    <w:lvl w:ilvl="0" w:tplc="04090001">
      <w:start w:val="1"/>
      <w:numFmt w:val="bullet"/>
      <w:lvlText w:val=""/>
      <w:lvlJc w:val="left"/>
      <w:pPr>
        <w:ind w:left="360" w:hanging="360"/>
      </w:pPr>
      <w:rPr>
        <w:rFonts w:ascii="Symbol" w:hAnsi="Symbol" w:hint="default"/>
      </w:rPr>
    </w:lvl>
    <w:lvl w:ilvl="1" w:tplc="73F4BF80">
      <w:start w:val="1"/>
      <w:numFmt w:val="bullet"/>
      <w:pStyle w:val="intro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A31C8"/>
    <w:multiLevelType w:val="multilevel"/>
    <w:tmpl w:val="2B604A7A"/>
    <w:lvl w:ilvl="0">
      <w:start w:val="1"/>
      <w:numFmt w:val="bullet"/>
      <w:lvlText w:val=""/>
      <w:lvlJc w:val="left"/>
      <w:pPr>
        <w:tabs>
          <w:tab w:val="num" w:pos="960"/>
        </w:tabs>
        <w:ind w:left="960" w:hanging="360"/>
      </w:pPr>
      <w:rPr>
        <w:rFonts w:ascii="Symbol" w:hAnsi="Symbol" w:hint="default"/>
        <w:sz w:val="20"/>
      </w:rPr>
    </w:lvl>
    <w:lvl w:ilvl="1" w:tentative="1">
      <w:start w:val="1"/>
      <w:numFmt w:val="bullet"/>
      <w:lvlText w:val="o"/>
      <w:lvlJc w:val="left"/>
      <w:pPr>
        <w:tabs>
          <w:tab w:val="num" w:pos="1680"/>
        </w:tabs>
        <w:ind w:left="1680" w:hanging="360"/>
      </w:pPr>
      <w:rPr>
        <w:rFonts w:ascii="Courier New" w:hAnsi="Courier New" w:hint="default"/>
        <w:sz w:val="20"/>
      </w:rPr>
    </w:lvl>
    <w:lvl w:ilvl="2" w:tentative="1">
      <w:start w:val="1"/>
      <w:numFmt w:val="bullet"/>
      <w:lvlText w:val=""/>
      <w:lvlJc w:val="left"/>
      <w:pPr>
        <w:tabs>
          <w:tab w:val="num" w:pos="2400"/>
        </w:tabs>
        <w:ind w:left="2400" w:hanging="360"/>
      </w:pPr>
      <w:rPr>
        <w:rFonts w:ascii="Wingdings" w:hAnsi="Wingdings" w:hint="default"/>
        <w:sz w:val="20"/>
      </w:rPr>
    </w:lvl>
    <w:lvl w:ilvl="3" w:tentative="1">
      <w:start w:val="1"/>
      <w:numFmt w:val="bullet"/>
      <w:lvlText w:val=""/>
      <w:lvlJc w:val="left"/>
      <w:pPr>
        <w:tabs>
          <w:tab w:val="num" w:pos="3120"/>
        </w:tabs>
        <w:ind w:left="3120" w:hanging="360"/>
      </w:pPr>
      <w:rPr>
        <w:rFonts w:ascii="Wingdings" w:hAnsi="Wingdings" w:hint="default"/>
        <w:sz w:val="20"/>
      </w:rPr>
    </w:lvl>
    <w:lvl w:ilvl="4" w:tentative="1">
      <w:start w:val="1"/>
      <w:numFmt w:val="bullet"/>
      <w:lvlText w:val=""/>
      <w:lvlJc w:val="left"/>
      <w:pPr>
        <w:tabs>
          <w:tab w:val="num" w:pos="3840"/>
        </w:tabs>
        <w:ind w:left="3840" w:hanging="360"/>
      </w:pPr>
      <w:rPr>
        <w:rFonts w:ascii="Wingdings" w:hAnsi="Wingdings" w:hint="default"/>
        <w:sz w:val="20"/>
      </w:rPr>
    </w:lvl>
    <w:lvl w:ilvl="5" w:tentative="1">
      <w:start w:val="1"/>
      <w:numFmt w:val="bullet"/>
      <w:lvlText w:val=""/>
      <w:lvlJc w:val="left"/>
      <w:pPr>
        <w:tabs>
          <w:tab w:val="num" w:pos="4560"/>
        </w:tabs>
        <w:ind w:left="4560" w:hanging="360"/>
      </w:pPr>
      <w:rPr>
        <w:rFonts w:ascii="Wingdings" w:hAnsi="Wingdings" w:hint="default"/>
        <w:sz w:val="20"/>
      </w:rPr>
    </w:lvl>
    <w:lvl w:ilvl="6" w:tentative="1">
      <w:start w:val="1"/>
      <w:numFmt w:val="bullet"/>
      <w:lvlText w:val=""/>
      <w:lvlJc w:val="left"/>
      <w:pPr>
        <w:tabs>
          <w:tab w:val="num" w:pos="5280"/>
        </w:tabs>
        <w:ind w:left="5280" w:hanging="360"/>
      </w:pPr>
      <w:rPr>
        <w:rFonts w:ascii="Wingdings" w:hAnsi="Wingdings" w:hint="default"/>
        <w:sz w:val="20"/>
      </w:rPr>
    </w:lvl>
    <w:lvl w:ilvl="7" w:tentative="1">
      <w:start w:val="1"/>
      <w:numFmt w:val="bullet"/>
      <w:lvlText w:val=""/>
      <w:lvlJc w:val="left"/>
      <w:pPr>
        <w:tabs>
          <w:tab w:val="num" w:pos="6000"/>
        </w:tabs>
        <w:ind w:left="6000" w:hanging="360"/>
      </w:pPr>
      <w:rPr>
        <w:rFonts w:ascii="Wingdings" w:hAnsi="Wingdings" w:hint="default"/>
        <w:sz w:val="20"/>
      </w:rPr>
    </w:lvl>
    <w:lvl w:ilvl="8" w:tentative="1">
      <w:start w:val="1"/>
      <w:numFmt w:val="bullet"/>
      <w:lvlText w:val=""/>
      <w:lvlJc w:val="left"/>
      <w:pPr>
        <w:tabs>
          <w:tab w:val="num" w:pos="6720"/>
        </w:tabs>
        <w:ind w:left="6720" w:hanging="360"/>
      </w:pPr>
      <w:rPr>
        <w:rFonts w:ascii="Wingdings" w:hAnsi="Wingdings" w:hint="default"/>
        <w:sz w:val="20"/>
      </w:rPr>
    </w:lvl>
  </w:abstractNum>
  <w:abstractNum w:abstractNumId="3" w15:restartNumberingAfterBreak="0">
    <w:nsid w:val="66E079D0"/>
    <w:multiLevelType w:val="hybridMultilevel"/>
    <w:tmpl w:val="B85417CA"/>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8E039C4"/>
    <w:multiLevelType w:val="hybridMultilevel"/>
    <w:tmpl w:val="B29A2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6" w15:restartNumberingAfterBreak="0">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6"/>
    <w:lvlOverride w:ilvl="0">
      <w:startOverride w:val="1"/>
    </w:lvlOverride>
  </w:num>
  <w:num w:numId="5">
    <w:abstractNumId w:val="2"/>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7E3"/>
    <w:rsid w:val="000008C9"/>
    <w:rsid w:val="00002D54"/>
    <w:rsid w:val="00007E7D"/>
    <w:rsid w:val="00013AD5"/>
    <w:rsid w:val="00015143"/>
    <w:rsid w:val="000301EC"/>
    <w:rsid w:val="0003128B"/>
    <w:rsid w:val="00031759"/>
    <w:rsid w:val="000348A9"/>
    <w:rsid w:val="00034969"/>
    <w:rsid w:val="00035F25"/>
    <w:rsid w:val="000379F9"/>
    <w:rsid w:val="00037DA0"/>
    <w:rsid w:val="00045167"/>
    <w:rsid w:val="000474E0"/>
    <w:rsid w:val="00057A81"/>
    <w:rsid w:val="00057A98"/>
    <w:rsid w:val="00061B52"/>
    <w:rsid w:val="00066C48"/>
    <w:rsid w:val="00084587"/>
    <w:rsid w:val="0008776E"/>
    <w:rsid w:val="000940EC"/>
    <w:rsid w:val="000A527B"/>
    <w:rsid w:val="000C105B"/>
    <w:rsid w:val="000C3BE0"/>
    <w:rsid w:val="000D08AF"/>
    <w:rsid w:val="000E1690"/>
    <w:rsid w:val="000E2145"/>
    <w:rsid w:val="000E78B0"/>
    <w:rsid w:val="00117A5F"/>
    <w:rsid w:val="00120045"/>
    <w:rsid w:val="001268C7"/>
    <w:rsid w:val="00130B3D"/>
    <w:rsid w:val="00130B60"/>
    <w:rsid w:val="00135F40"/>
    <w:rsid w:val="00136EC6"/>
    <w:rsid w:val="001413FB"/>
    <w:rsid w:val="001424A2"/>
    <w:rsid w:val="0014652F"/>
    <w:rsid w:val="00157CEA"/>
    <w:rsid w:val="00173F6F"/>
    <w:rsid w:val="00176DD8"/>
    <w:rsid w:val="00195913"/>
    <w:rsid w:val="001A1090"/>
    <w:rsid w:val="001A25C5"/>
    <w:rsid w:val="001B06AB"/>
    <w:rsid w:val="001B20BC"/>
    <w:rsid w:val="001D26C5"/>
    <w:rsid w:val="001D64C0"/>
    <w:rsid w:val="001E2AA9"/>
    <w:rsid w:val="001E3790"/>
    <w:rsid w:val="001E4FE0"/>
    <w:rsid w:val="001E792C"/>
    <w:rsid w:val="001F091F"/>
    <w:rsid w:val="001F332B"/>
    <w:rsid w:val="00204026"/>
    <w:rsid w:val="00210A6C"/>
    <w:rsid w:val="00225E0C"/>
    <w:rsid w:val="0023058D"/>
    <w:rsid w:val="00241834"/>
    <w:rsid w:val="00256731"/>
    <w:rsid w:val="00261B31"/>
    <w:rsid w:val="00272FB6"/>
    <w:rsid w:val="0027586D"/>
    <w:rsid w:val="0027600A"/>
    <w:rsid w:val="00276F25"/>
    <w:rsid w:val="002821D8"/>
    <w:rsid w:val="00282E12"/>
    <w:rsid w:val="00294B32"/>
    <w:rsid w:val="002954F2"/>
    <w:rsid w:val="002A4506"/>
    <w:rsid w:val="002B265D"/>
    <w:rsid w:val="002C012A"/>
    <w:rsid w:val="002C6BEA"/>
    <w:rsid w:val="002D42E0"/>
    <w:rsid w:val="002E4635"/>
    <w:rsid w:val="002E751A"/>
    <w:rsid w:val="002F642B"/>
    <w:rsid w:val="003252DE"/>
    <w:rsid w:val="003274CE"/>
    <w:rsid w:val="00333FF1"/>
    <w:rsid w:val="00344ED8"/>
    <w:rsid w:val="00345272"/>
    <w:rsid w:val="003521F0"/>
    <w:rsid w:val="003528A9"/>
    <w:rsid w:val="00355EEF"/>
    <w:rsid w:val="00373C72"/>
    <w:rsid w:val="00375042"/>
    <w:rsid w:val="00380068"/>
    <w:rsid w:val="00396FAF"/>
    <w:rsid w:val="003A7932"/>
    <w:rsid w:val="003B0BF3"/>
    <w:rsid w:val="003B5299"/>
    <w:rsid w:val="003B789B"/>
    <w:rsid w:val="003B7FB9"/>
    <w:rsid w:val="003C7EAD"/>
    <w:rsid w:val="003D580B"/>
    <w:rsid w:val="003E1997"/>
    <w:rsid w:val="00400E32"/>
    <w:rsid w:val="00435F22"/>
    <w:rsid w:val="00437E27"/>
    <w:rsid w:val="00444710"/>
    <w:rsid w:val="00446216"/>
    <w:rsid w:val="00446AE0"/>
    <w:rsid w:val="00461881"/>
    <w:rsid w:val="00482FC3"/>
    <w:rsid w:val="00485A6A"/>
    <w:rsid w:val="00486D5A"/>
    <w:rsid w:val="00490CE0"/>
    <w:rsid w:val="00497381"/>
    <w:rsid w:val="004A26E3"/>
    <w:rsid w:val="004A6C91"/>
    <w:rsid w:val="004B11C9"/>
    <w:rsid w:val="004B64CE"/>
    <w:rsid w:val="004B70C4"/>
    <w:rsid w:val="004C15CC"/>
    <w:rsid w:val="004C39C7"/>
    <w:rsid w:val="004C3B96"/>
    <w:rsid w:val="004D7EF3"/>
    <w:rsid w:val="004E2FBE"/>
    <w:rsid w:val="004E4490"/>
    <w:rsid w:val="004F35FD"/>
    <w:rsid w:val="004F6F6B"/>
    <w:rsid w:val="005064F7"/>
    <w:rsid w:val="005118DB"/>
    <w:rsid w:val="00512296"/>
    <w:rsid w:val="00526351"/>
    <w:rsid w:val="00530E45"/>
    <w:rsid w:val="005324FD"/>
    <w:rsid w:val="005368B0"/>
    <w:rsid w:val="005403B4"/>
    <w:rsid w:val="00542A14"/>
    <w:rsid w:val="00542D49"/>
    <w:rsid w:val="00547A79"/>
    <w:rsid w:val="005540B6"/>
    <w:rsid w:val="005551B2"/>
    <w:rsid w:val="00563FEC"/>
    <w:rsid w:val="00575CD9"/>
    <w:rsid w:val="005768EA"/>
    <w:rsid w:val="00577B03"/>
    <w:rsid w:val="005964DC"/>
    <w:rsid w:val="00596FFB"/>
    <w:rsid w:val="005A77C0"/>
    <w:rsid w:val="005C60BE"/>
    <w:rsid w:val="005E04E6"/>
    <w:rsid w:val="005E41F1"/>
    <w:rsid w:val="006009DD"/>
    <w:rsid w:val="00602EDE"/>
    <w:rsid w:val="006043B3"/>
    <w:rsid w:val="006212D6"/>
    <w:rsid w:val="00621F14"/>
    <w:rsid w:val="006400BF"/>
    <w:rsid w:val="00647BD3"/>
    <w:rsid w:val="0065065D"/>
    <w:rsid w:val="00653698"/>
    <w:rsid w:val="00655552"/>
    <w:rsid w:val="00661C86"/>
    <w:rsid w:val="00666FA3"/>
    <w:rsid w:val="006678E7"/>
    <w:rsid w:val="006763C2"/>
    <w:rsid w:val="00676423"/>
    <w:rsid w:val="006778A3"/>
    <w:rsid w:val="0069438C"/>
    <w:rsid w:val="006A132A"/>
    <w:rsid w:val="006A265D"/>
    <w:rsid w:val="006B21AC"/>
    <w:rsid w:val="006B619B"/>
    <w:rsid w:val="006B763A"/>
    <w:rsid w:val="006C487D"/>
    <w:rsid w:val="006C778F"/>
    <w:rsid w:val="006D075B"/>
    <w:rsid w:val="006D5ABA"/>
    <w:rsid w:val="006D5FA5"/>
    <w:rsid w:val="006D6650"/>
    <w:rsid w:val="006F273B"/>
    <w:rsid w:val="006F3332"/>
    <w:rsid w:val="00703B05"/>
    <w:rsid w:val="00704FE1"/>
    <w:rsid w:val="00710584"/>
    <w:rsid w:val="007114FA"/>
    <w:rsid w:val="00712F59"/>
    <w:rsid w:val="007249CD"/>
    <w:rsid w:val="00734CEE"/>
    <w:rsid w:val="007351FD"/>
    <w:rsid w:val="0074077E"/>
    <w:rsid w:val="00745D64"/>
    <w:rsid w:val="00752489"/>
    <w:rsid w:val="0075558C"/>
    <w:rsid w:val="007577E5"/>
    <w:rsid w:val="0076297C"/>
    <w:rsid w:val="00763A77"/>
    <w:rsid w:val="0076497B"/>
    <w:rsid w:val="00773040"/>
    <w:rsid w:val="007747E3"/>
    <w:rsid w:val="0078692A"/>
    <w:rsid w:val="007B1BF2"/>
    <w:rsid w:val="007B6A2D"/>
    <w:rsid w:val="007E75E6"/>
    <w:rsid w:val="007F1E4A"/>
    <w:rsid w:val="008064E9"/>
    <w:rsid w:val="008176EE"/>
    <w:rsid w:val="00821CE4"/>
    <w:rsid w:val="00824733"/>
    <w:rsid w:val="00824C32"/>
    <w:rsid w:val="00825DCB"/>
    <w:rsid w:val="00827F68"/>
    <w:rsid w:val="0083095B"/>
    <w:rsid w:val="00840B15"/>
    <w:rsid w:val="00847B35"/>
    <w:rsid w:val="00847D6E"/>
    <w:rsid w:val="00866B05"/>
    <w:rsid w:val="00870F90"/>
    <w:rsid w:val="00882BFB"/>
    <w:rsid w:val="008845C2"/>
    <w:rsid w:val="008A7577"/>
    <w:rsid w:val="008B1C96"/>
    <w:rsid w:val="008C46F7"/>
    <w:rsid w:val="008D5AF7"/>
    <w:rsid w:val="008E0F27"/>
    <w:rsid w:val="008E623A"/>
    <w:rsid w:val="00902C12"/>
    <w:rsid w:val="009369BA"/>
    <w:rsid w:val="00941358"/>
    <w:rsid w:val="00945EBD"/>
    <w:rsid w:val="00955BAE"/>
    <w:rsid w:val="0095673D"/>
    <w:rsid w:val="0095684E"/>
    <w:rsid w:val="0096105A"/>
    <w:rsid w:val="009710A2"/>
    <w:rsid w:val="00977456"/>
    <w:rsid w:val="00982A3C"/>
    <w:rsid w:val="00987299"/>
    <w:rsid w:val="00997BD4"/>
    <w:rsid w:val="009A42D8"/>
    <w:rsid w:val="009B074C"/>
    <w:rsid w:val="009B25F5"/>
    <w:rsid w:val="009B4BE8"/>
    <w:rsid w:val="009B4C45"/>
    <w:rsid w:val="009D1B98"/>
    <w:rsid w:val="009F0F71"/>
    <w:rsid w:val="00A01C26"/>
    <w:rsid w:val="00A0202A"/>
    <w:rsid w:val="00A062E8"/>
    <w:rsid w:val="00A0722A"/>
    <w:rsid w:val="00A10B25"/>
    <w:rsid w:val="00A24165"/>
    <w:rsid w:val="00A25613"/>
    <w:rsid w:val="00A30725"/>
    <w:rsid w:val="00A45884"/>
    <w:rsid w:val="00A54D6B"/>
    <w:rsid w:val="00A72BA0"/>
    <w:rsid w:val="00A9360B"/>
    <w:rsid w:val="00AA2032"/>
    <w:rsid w:val="00AB2207"/>
    <w:rsid w:val="00AB23FB"/>
    <w:rsid w:val="00AB2904"/>
    <w:rsid w:val="00AB3A40"/>
    <w:rsid w:val="00AE3FCA"/>
    <w:rsid w:val="00AE4E84"/>
    <w:rsid w:val="00AF2478"/>
    <w:rsid w:val="00AF3A8D"/>
    <w:rsid w:val="00B01664"/>
    <w:rsid w:val="00B06777"/>
    <w:rsid w:val="00B07D4B"/>
    <w:rsid w:val="00B220BA"/>
    <w:rsid w:val="00B3507D"/>
    <w:rsid w:val="00B4582F"/>
    <w:rsid w:val="00B70F7B"/>
    <w:rsid w:val="00B72E6A"/>
    <w:rsid w:val="00B77A8E"/>
    <w:rsid w:val="00B80111"/>
    <w:rsid w:val="00B80F35"/>
    <w:rsid w:val="00B81ECB"/>
    <w:rsid w:val="00B843AB"/>
    <w:rsid w:val="00B9006B"/>
    <w:rsid w:val="00BA4231"/>
    <w:rsid w:val="00BB5354"/>
    <w:rsid w:val="00BB6FC0"/>
    <w:rsid w:val="00BC09E3"/>
    <w:rsid w:val="00BD21EE"/>
    <w:rsid w:val="00BD3328"/>
    <w:rsid w:val="00BD3819"/>
    <w:rsid w:val="00BD4E79"/>
    <w:rsid w:val="00BE139C"/>
    <w:rsid w:val="00BE2F11"/>
    <w:rsid w:val="00BE677B"/>
    <w:rsid w:val="00BE72E4"/>
    <w:rsid w:val="00BF147E"/>
    <w:rsid w:val="00BF29A9"/>
    <w:rsid w:val="00C035E2"/>
    <w:rsid w:val="00C05C34"/>
    <w:rsid w:val="00C17B0F"/>
    <w:rsid w:val="00C2536E"/>
    <w:rsid w:val="00C61231"/>
    <w:rsid w:val="00C70B1E"/>
    <w:rsid w:val="00C70B40"/>
    <w:rsid w:val="00C71554"/>
    <w:rsid w:val="00C726F7"/>
    <w:rsid w:val="00C870F3"/>
    <w:rsid w:val="00C90990"/>
    <w:rsid w:val="00C93404"/>
    <w:rsid w:val="00CB1713"/>
    <w:rsid w:val="00CB25A4"/>
    <w:rsid w:val="00CC4E3A"/>
    <w:rsid w:val="00CD098E"/>
    <w:rsid w:val="00CD0D32"/>
    <w:rsid w:val="00CE0218"/>
    <w:rsid w:val="00CE567A"/>
    <w:rsid w:val="00D10B31"/>
    <w:rsid w:val="00D326E1"/>
    <w:rsid w:val="00D34E2C"/>
    <w:rsid w:val="00D53656"/>
    <w:rsid w:val="00D53690"/>
    <w:rsid w:val="00D61845"/>
    <w:rsid w:val="00D757C5"/>
    <w:rsid w:val="00D813BE"/>
    <w:rsid w:val="00D814CD"/>
    <w:rsid w:val="00D85B81"/>
    <w:rsid w:val="00D92FA9"/>
    <w:rsid w:val="00D9439B"/>
    <w:rsid w:val="00D94C3E"/>
    <w:rsid w:val="00DA5641"/>
    <w:rsid w:val="00DA6B61"/>
    <w:rsid w:val="00DB1572"/>
    <w:rsid w:val="00DC05FC"/>
    <w:rsid w:val="00DC4BEE"/>
    <w:rsid w:val="00DC696D"/>
    <w:rsid w:val="00DD17A8"/>
    <w:rsid w:val="00DF098B"/>
    <w:rsid w:val="00DF305C"/>
    <w:rsid w:val="00DF557D"/>
    <w:rsid w:val="00DF6BA9"/>
    <w:rsid w:val="00E02EC1"/>
    <w:rsid w:val="00E10518"/>
    <w:rsid w:val="00E16C7C"/>
    <w:rsid w:val="00E24B7A"/>
    <w:rsid w:val="00E2666A"/>
    <w:rsid w:val="00E4472C"/>
    <w:rsid w:val="00E46B7A"/>
    <w:rsid w:val="00E62DC7"/>
    <w:rsid w:val="00E733AB"/>
    <w:rsid w:val="00E760BE"/>
    <w:rsid w:val="00E87E24"/>
    <w:rsid w:val="00E91301"/>
    <w:rsid w:val="00E9792B"/>
    <w:rsid w:val="00EA3A1B"/>
    <w:rsid w:val="00EA7C40"/>
    <w:rsid w:val="00EB0AC9"/>
    <w:rsid w:val="00EB0AED"/>
    <w:rsid w:val="00EB175D"/>
    <w:rsid w:val="00EB5ED0"/>
    <w:rsid w:val="00EC6D0A"/>
    <w:rsid w:val="00ED51B1"/>
    <w:rsid w:val="00EE2BFB"/>
    <w:rsid w:val="00EE5498"/>
    <w:rsid w:val="00EF3CE5"/>
    <w:rsid w:val="00F07F87"/>
    <w:rsid w:val="00F20F21"/>
    <w:rsid w:val="00F32FF1"/>
    <w:rsid w:val="00F440C3"/>
    <w:rsid w:val="00F47FBA"/>
    <w:rsid w:val="00F74A58"/>
    <w:rsid w:val="00F77D9E"/>
    <w:rsid w:val="00F82762"/>
    <w:rsid w:val="00F82F65"/>
    <w:rsid w:val="00F8315F"/>
    <w:rsid w:val="00FA146E"/>
    <w:rsid w:val="00FA4E12"/>
    <w:rsid w:val="00FA61EF"/>
    <w:rsid w:val="00FB0C99"/>
    <w:rsid w:val="00FB13D2"/>
    <w:rsid w:val="00FC0341"/>
    <w:rsid w:val="00FC3F7F"/>
    <w:rsid w:val="00FC6C50"/>
    <w:rsid w:val="00FD315E"/>
    <w:rsid w:val="00FE004A"/>
    <w:rsid w:val="00FE10E5"/>
    <w:rsid w:val="00FF5D0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D350C5"/>
  <w15:docId w15:val="{A0885642-B685-494A-BC12-13476081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1"/>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2"/>
      </w:numPr>
      <w:spacing w:before="60" w:after="0" w:line="264" w:lineRule="auto"/>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cs="Times New Roman"/>
      <w:bCs/>
      <w:iCs/>
    </w:rPr>
  </w:style>
  <w:style w:type="paragraph" w:customStyle="1" w:styleId="introbullet">
    <w:name w:val="intro bullet"/>
    <w:basedOn w:val="dashpoint"/>
    <w:qFormat/>
    <w:rsid w:val="004E2FBE"/>
    <w:pPr>
      <w:numPr>
        <w:numId w:val="7"/>
      </w:numPr>
      <w:spacing w:before="0" w:after="120" w:line="260" w:lineRule="exact"/>
      <w:ind w:left="461" w:hanging="274"/>
    </w:pPr>
    <w:rPr>
      <w:sz w:val="22"/>
      <w:szCs w:val="22"/>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3"/>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4"/>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4"/>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Revision">
    <w:name w:val="Revision"/>
    <w:hidden/>
    <w:uiPriority w:val="99"/>
    <w:semiHidden/>
    <w:rsid w:val="00902C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5014">
      <w:bodyDiv w:val="1"/>
      <w:marLeft w:val="0"/>
      <w:marRight w:val="0"/>
      <w:marTop w:val="0"/>
      <w:marBottom w:val="0"/>
      <w:divBdr>
        <w:top w:val="none" w:sz="0" w:space="0" w:color="auto"/>
        <w:left w:val="none" w:sz="0" w:space="0" w:color="auto"/>
        <w:bottom w:val="none" w:sz="0" w:space="0" w:color="auto"/>
        <w:right w:val="none" w:sz="0" w:space="0" w:color="auto"/>
      </w:divBdr>
    </w:div>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262613266">
      <w:bodyDiv w:val="1"/>
      <w:marLeft w:val="0"/>
      <w:marRight w:val="0"/>
      <w:marTop w:val="0"/>
      <w:marBottom w:val="0"/>
      <w:divBdr>
        <w:top w:val="none" w:sz="0" w:space="0" w:color="auto"/>
        <w:left w:val="none" w:sz="0" w:space="0" w:color="auto"/>
        <w:bottom w:val="none" w:sz="0" w:space="0" w:color="auto"/>
        <w:right w:val="none" w:sz="0" w:space="0" w:color="auto"/>
      </w:divBdr>
    </w:div>
    <w:div w:id="611713410">
      <w:bodyDiv w:val="1"/>
      <w:marLeft w:val="0"/>
      <w:marRight w:val="0"/>
      <w:marTop w:val="0"/>
      <w:marBottom w:val="0"/>
      <w:divBdr>
        <w:top w:val="none" w:sz="0" w:space="0" w:color="auto"/>
        <w:left w:val="none" w:sz="0" w:space="0" w:color="auto"/>
        <w:bottom w:val="none" w:sz="0" w:space="0" w:color="auto"/>
        <w:right w:val="none" w:sz="0" w:space="0" w:color="auto"/>
      </w:divBdr>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466654274">
      <w:bodyDiv w:val="1"/>
      <w:marLeft w:val="0"/>
      <w:marRight w:val="0"/>
      <w:marTop w:val="0"/>
      <w:marBottom w:val="0"/>
      <w:divBdr>
        <w:top w:val="none" w:sz="0" w:space="0" w:color="auto"/>
        <w:left w:val="none" w:sz="0" w:space="0" w:color="auto"/>
        <w:bottom w:val="none" w:sz="0" w:space="0" w:color="auto"/>
        <w:right w:val="none" w:sz="0" w:space="0" w:color="auto"/>
      </w:divBdr>
    </w:div>
    <w:div w:id="155839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dgm:spPr>
        <a:solidFill>
          <a:srgbClr val="660000"/>
        </a:solidFill>
      </dgm:spPr>
      <dgm:t>
        <a:bodyPr lIns="0"/>
        <a:lstStyle/>
        <a:p>
          <a:r>
            <a:rPr lang="en-US" b="1"/>
            <a:t>Part 1: Pre-work</a:t>
          </a:r>
          <a:r>
            <a:rPr lang="en-US"/>
            <a:t> </a:t>
          </a:r>
        </a:p>
        <a:p>
          <a:r>
            <a:rPr lang="en-US"/>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dgm:spPr>
        <a:solidFill>
          <a:srgbClr val="660000"/>
        </a:solidFill>
      </dgm:spPr>
      <dgm:t>
        <a:bodyPr/>
        <a:lstStyle/>
        <a:p>
          <a:r>
            <a:rPr lang="en-US" b="1"/>
            <a:t>Part 2: Caf</a:t>
          </a:r>
          <a:r>
            <a:rPr lang="en-US"/>
            <a:t>é </a:t>
          </a:r>
          <a:r>
            <a:rPr lang="en-US" b="1"/>
            <a:t>session</a:t>
          </a:r>
          <a:r>
            <a:rPr lang="en-US"/>
            <a:t>       </a:t>
          </a:r>
        </a:p>
        <a:p>
          <a:r>
            <a:rPr lang="en-US"/>
            <a:t> Live,                    group </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dgm:spPr>
        <a:solidFill>
          <a:srgbClr val="660000"/>
        </a:solidFill>
      </dgm:spPr>
      <dgm:t>
        <a:bodyPr/>
        <a:lstStyle/>
        <a:p>
          <a:r>
            <a:rPr lang="en-US" b="1"/>
            <a:t>Part 3: Application </a:t>
          </a:r>
        </a:p>
        <a:p>
          <a:r>
            <a:rPr lang="en-US"/>
            <a:t>Self-paced, 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NeighborX="53504">
        <dgm:presLayoutVars>
          <dgm:chMax val="0"/>
          <dgm:chPref val="0"/>
          <dgm:bulletEnabled val="1"/>
        </dgm:presLayoutVars>
      </dgm:prSet>
      <dgm:spPr/>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dgm:presLayoutVars>
          <dgm:chMax val="0"/>
          <dgm:chPref val="0"/>
          <dgm:bulletEnabled val="1"/>
        </dgm:presLayoutVars>
      </dgm:prSet>
      <dgm:spPr/>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38912">
        <dgm:presLayoutVars>
          <dgm:chMax val="0"/>
          <dgm:chPref val="0"/>
          <dgm:bulletEnabled val="1"/>
        </dgm:presLayoutVars>
      </dgm:prSet>
      <dgm:spPr/>
    </dgm:pt>
  </dgm:ptLst>
  <dgm:cxnLst>
    <dgm:cxn modelId="{C4AE3E0F-6444-45DE-9B68-510D4AF1A205}" type="presOf" srcId="{5597D904-7967-1649-8719-760C983493FD}" destId="{D203DAEF-C683-F941-8D68-9834910DD8D5}" srcOrd="0" destOrd="0" presId="urn:microsoft.com/office/officeart/2005/8/layout/chevron1"/>
    <dgm:cxn modelId="{100FCC18-9BE8-B043-8DE3-939CAEB00FA1}" srcId="{2D7D3426-150F-A545-9ADF-E27078B65ECE}" destId="{4428C2BB-34C6-4648-A53C-C58BBD75A61B}" srcOrd="0" destOrd="0" parTransId="{B855E90A-2B70-7A49-B88B-6040FD478363}" sibTransId="{C106AE9F-7AE6-0D41-9DDF-5FC0D70F5AEA}"/>
    <dgm:cxn modelId="{ED5D1722-9751-4F30-A757-8F5334960EAB}" type="presOf" srcId="{6C1F603D-38DB-9A47-8AB9-0D44AB4D83F5}" destId="{E98ACE24-CB79-5542-9D1C-938FF8AC975A}" srcOrd="0" destOrd="0" presId="urn:microsoft.com/office/officeart/2005/8/layout/chevron1"/>
    <dgm:cxn modelId="{F723AA2B-9344-FC4A-A3FE-8FAFAE110D04}" srcId="{2D7D3426-150F-A545-9ADF-E27078B65ECE}" destId="{5597D904-7967-1649-8719-760C983493FD}" srcOrd="2" destOrd="0" parTransId="{01682DA7-0EC8-A448-9758-83644F3485E6}" sibTransId="{93BDCCF4-88A7-4742-9C60-8B4D0C330E81}"/>
    <dgm:cxn modelId="{4C14D832-3A8B-45AE-9C26-67F2D241B189}" type="presOf" srcId="{4428C2BB-34C6-4648-A53C-C58BBD75A61B}" destId="{CE10A6AF-0EE1-EF4C-BB55-234B5C18E3AB}" srcOrd="0" destOrd="0" presId="urn:microsoft.com/office/officeart/2005/8/layout/chevron1"/>
    <dgm:cxn modelId="{C7DC1748-8A15-4D8A-8AB9-64B625D0A188}" type="presOf" srcId="{2D7D3426-150F-A545-9ADF-E27078B65ECE}" destId="{CE242C84-1F0B-3747-A7BA-80B9EB14ACB4}" srcOrd="0" destOrd="0" presId="urn:microsoft.com/office/officeart/2005/8/layout/chevron1"/>
    <dgm:cxn modelId="{778A0C5E-8F39-BB45-8B88-0C8AE4F3650B}" srcId="{2D7D3426-150F-A545-9ADF-E27078B65ECE}" destId="{6C1F603D-38DB-9A47-8AB9-0D44AB4D83F5}" srcOrd="1" destOrd="0" parTransId="{F0555417-53F2-CE47-8865-158FB35037B6}" sibTransId="{2939D593-3918-E543-8D72-7E5948FD0CAC}"/>
    <dgm:cxn modelId="{A8D549B2-07F4-4DB3-BB15-FCADE7BC3770}" type="presParOf" srcId="{CE242C84-1F0B-3747-A7BA-80B9EB14ACB4}" destId="{CE10A6AF-0EE1-EF4C-BB55-234B5C18E3AB}" srcOrd="0" destOrd="0" presId="urn:microsoft.com/office/officeart/2005/8/layout/chevron1"/>
    <dgm:cxn modelId="{32DF85C3-F866-4B68-B4A0-63AD22DE9AC6}" type="presParOf" srcId="{CE242C84-1F0B-3747-A7BA-80B9EB14ACB4}" destId="{7BBAFEC7-13D8-B04A-8CD4-0E182F4CAC4A}" srcOrd="1" destOrd="0" presId="urn:microsoft.com/office/officeart/2005/8/layout/chevron1"/>
    <dgm:cxn modelId="{DBB22E3C-88B1-4401-B1A5-BC1BAA48B5B8}" type="presParOf" srcId="{CE242C84-1F0B-3747-A7BA-80B9EB14ACB4}" destId="{E98ACE24-CB79-5542-9D1C-938FF8AC975A}" srcOrd="2" destOrd="0" presId="urn:microsoft.com/office/officeart/2005/8/layout/chevron1"/>
    <dgm:cxn modelId="{3ABB072A-EFB2-48C6-AFF2-4830D4667987}" type="presParOf" srcId="{CE242C84-1F0B-3747-A7BA-80B9EB14ACB4}" destId="{4A772EF6-5541-334E-BB73-A7BF3ED6F8F1}" srcOrd="3" destOrd="0" presId="urn:microsoft.com/office/officeart/2005/8/layout/chevron1"/>
    <dgm:cxn modelId="{73E615F9-97B7-423C-B26B-921EC0C07859}"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123391" y="0"/>
          <a:ext cx="2002667"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1: Pre-work</a:t>
          </a:r>
          <a:r>
            <a:rPr lang="en-US" sz="1300" kern="1200"/>
            <a:t> </a:t>
          </a:r>
        </a:p>
        <a:p>
          <a:pPr marL="0" lvl="0" indent="0" algn="ctr" defTabSz="577850">
            <a:lnSpc>
              <a:spcPct val="90000"/>
            </a:lnSpc>
            <a:spcBef>
              <a:spcPct val="0"/>
            </a:spcBef>
            <a:spcAft>
              <a:spcPct val="35000"/>
            </a:spcAft>
            <a:buNone/>
          </a:pPr>
          <a:r>
            <a:rPr lang="en-US" sz="1300" kern="1200"/>
            <a:t> Self-paced, individual</a:t>
          </a:r>
        </a:p>
      </dsp:txBody>
      <dsp:txXfrm>
        <a:off x="538363" y="0"/>
        <a:ext cx="1172723" cy="829944"/>
      </dsp:txXfrm>
    </dsp:sp>
    <dsp:sp modelId="{E98ACE24-CB79-5542-9D1C-938FF8AC975A}">
      <dsp:nvSpPr>
        <dsp:cNvPr id="0" name=""/>
        <dsp:cNvSpPr/>
      </dsp:nvSpPr>
      <dsp:spPr>
        <a:xfrm>
          <a:off x="1772684"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2: Caf</a:t>
          </a:r>
          <a:r>
            <a:rPr lang="en-US" sz="1300" kern="1200"/>
            <a:t>é </a:t>
          </a:r>
          <a:r>
            <a:rPr lang="en-US" sz="1300" b="1" kern="1200"/>
            <a:t>session</a:t>
          </a:r>
          <a:r>
            <a:rPr lang="en-US" sz="1300" kern="1200"/>
            <a:t>       </a:t>
          </a:r>
        </a:p>
        <a:p>
          <a:pPr marL="0" lvl="0" indent="0" algn="ctr" defTabSz="577850">
            <a:lnSpc>
              <a:spcPct val="90000"/>
            </a:lnSpc>
            <a:spcBef>
              <a:spcPct val="0"/>
            </a:spcBef>
            <a:spcAft>
              <a:spcPct val="35000"/>
            </a:spcAft>
            <a:buNone/>
          </a:pPr>
          <a:r>
            <a:rPr lang="en-US" sz="1300" kern="1200"/>
            <a:t> Live,                    group </a:t>
          </a:r>
        </a:p>
      </dsp:txBody>
      <dsp:txXfrm>
        <a:off x="2187656" y="0"/>
        <a:ext cx="1472104" cy="829944"/>
      </dsp:txXfrm>
    </dsp:sp>
    <dsp:sp modelId="{D203DAEF-C683-F941-8D68-9834910DD8D5}">
      <dsp:nvSpPr>
        <dsp:cNvPr id="0" name=""/>
        <dsp:cNvSpPr/>
      </dsp:nvSpPr>
      <dsp:spPr>
        <a:xfrm>
          <a:off x="3754951"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3: Application </a:t>
          </a:r>
        </a:p>
        <a:p>
          <a:pPr marL="0" lvl="0" indent="0" algn="ctr" defTabSz="577850">
            <a:lnSpc>
              <a:spcPct val="90000"/>
            </a:lnSpc>
            <a:spcBef>
              <a:spcPct val="0"/>
            </a:spcBef>
            <a:spcAft>
              <a:spcPct val="35000"/>
            </a:spcAft>
            <a:buNone/>
          </a:pPr>
          <a:r>
            <a:rPr lang="en-US" sz="1300" kern="1200"/>
            <a:t>Self-paced, individual</a:t>
          </a:r>
        </a:p>
      </dsp:txBody>
      <dsp:txXfrm>
        <a:off x="416992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0BDE-450E-8140-9309-8559FCD3F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jfrenkle</dc:creator>
  <cp:keywords/>
  <dc:description/>
  <cp:lastModifiedBy>Mayank Kakkar</cp:lastModifiedBy>
  <cp:revision>3</cp:revision>
  <cp:lastPrinted>2014-07-28T15:36:00Z</cp:lastPrinted>
  <dcterms:created xsi:type="dcterms:W3CDTF">2015-12-22T15:09:00Z</dcterms:created>
  <dcterms:modified xsi:type="dcterms:W3CDTF">2019-03-12T08:16:00Z</dcterms:modified>
</cp:coreProperties>
</file>