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89B" w:rsidRPr="003B789B" w:rsidRDefault="007351FD" w:rsidP="006D6650">
      <w:pPr>
        <w:pStyle w:val="texttitle"/>
        <w:rPr>
          <w:noProof/>
        </w:rPr>
      </w:pPr>
      <w:r>
        <w:rPr>
          <w:noProof/>
        </w:rPr>
        <w:drawing>
          <wp:anchor distT="0" distB="0" distL="114300" distR="114300" simplePos="0" relativeHeight="251658751" behindDoc="0" locked="0" layoutInCell="1" allowOverlap="1">
            <wp:simplePos x="0" y="0"/>
            <wp:positionH relativeFrom="column">
              <wp:posOffset>-952500</wp:posOffset>
            </wp:positionH>
            <wp:positionV relativeFrom="paragraph">
              <wp:posOffset>-2466340</wp:posOffset>
            </wp:positionV>
            <wp:extent cx="7829550" cy="2609850"/>
            <wp:effectExtent l="19050" t="0" r="0" b="0"/>
            <wp:wrapNone/>
            <wp:docPr id="5" name="Picture 4" descr="Note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-02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F231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78.5pt;margin-top:-105.05pt;width:346.5pt;height:41.25pt;z-index:251659776;mso-position-horizontal-relative:text;mso-position-vertical-relative:text" filled="f" stroked="f">
            <v:textbox style="mso-next-textbox:#_x0000_s1029">
              <w:txbxContent>
                <w:p w:rsidR="002954F2" w:rsidRPr="002954F2" w:rsidRDefault="007351FD">
                  <w:pPr>
                    <w:rPr>
                      <w:b/>
                      <w:color w:val="FFFFFF" w:themeColor="background1"/>
                      <w:sz w:val="52"/>
                    </w:rPr>
                  </w:pPr>
                  <w:r>
                    <w:rPr>
                      <w:b/>
                      <w:color w:val="FFFFFF" w:themeColor="background1"/>
                      <w:sz w:val="52"/>
                    </w:rPr>
                    <w:t>Delegating</w:t>
                  </w:r>
                </w:p>
              </w:txbxContent>
            </v:textbox>
          </v:shape>
        </w:pict>
      </w:r>
      <w:r w:rsidR="003B789B" w:rsidRPr="00446AE0">
        <w:t>Overview</w:t>
      </w:r>
    </w:p>
    <w:p w:rsidR="00EA3A1B" w:rsidRPr="00EA3A1B" w:rsidRDefault="00DF557D" w:rsidP="00EA3A1B">
      <w:pPr>
        <w:pStyle w:val="Invitenote"/>
        <w:rPr>
          <w:noProof/>
          <w:lang w:bidi="en-US"/>
        </w:rPr>
      </w:pPr>
      <w:r w:rsidRPr="00DF557D">
        <w:rPr>
          <w:noProof/>
          <w:lang w:bidi="en-US"/>
        </w:rPr>
        <w:t xml:space="preserve">The </w:t>
      </w:r>
      <w:r w:rsidR="007351FD" w:rsidRPr="007351FD">
        <w:rPr>
          <w:noProof/>
          <w:lang w:bidi="en-US"/>
        </w:rPr>
        <w:t xml:space="preserve">Delegating </w:t>
      </w:r>
      <w:r w:rsidRPr="00DF557D">
        <w:rPr>
          <w:noProof/>
          <w:lang w:bidi="en-US"/>
        </w:rPr>
        <w:t>Café is a short blended learning experience oriented around the concepts and skills fo</w:t>
      </w:r>
      <w:r w:rsidR="009950A3">
        <w:rPr>
          <w:noProof/>
          <w:lang w:bidi="en-US"/>
        </w:rPr>
        <w:t xml:space="preserve">und in the Harvard ManageMentor </w:t>
      </w:r>
      <w:r w:rsidR="007351FD" w:rsidRPr="007351FD">
        <w:rPr>
          <w:noProof/>
          <w:lang w:bidi="en-US"/>
        </w:rPr>
        <w:t xml:space="preserve">Delegating </w:t>
      </w:r>
      <w:r w:rsidRPr="00DF557D">
        <w:rPr>
          <w:noProof/>
          <w:lang w:bidi="en-US"/>
        </w:rPr>
        <w:t>topic. The learning experience consists of three components:</w:t>
      </w:r>
    </w:p>
    <w:p w:rsidR="00446AE0" w:rsidRPr="00446AE0" w:rsidRDefault="00446AE0" w:rsidP="00446AE0">
      <w:pPr>
        <w:pStyle w:val="introtext"/>
        <w:rPr>
          <w:lang w:bidi="en-US"/>
        </w:rPr>
      </w:pPr>
      <w:r w:rsidRPr="00446AE0">
        <w:rPr>
          <w:noProof/>
        </w:rPr>
        <w:drawing>
          <wp:inline distT="0" distB="0" distL="0" distR="0">
            <wp:extent cx="5486400" cy="830368"/>
            <wp:effectExtent l="0" t="19050" r="0" b="46355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446AE0" w:rsidRPr="00EB0AC9" w:rsidRDefault="00446AE0" w:rsidP="00EB0AC9">
      <w:pPr>
        <w:pStyle w:val="introtext"/>
        <w:tabs>
          <w:tab w:val="clear" w:pos="450"/>
          <w:tab w:val="left" w:pos="900"/>
        </w:tabs>
        <w:spacing w:before="0"/>
        <w:rPr>
          <w:i/>
          <w:sz w:val="20"/>
          <w:lang w:bidi="en-US"/>
        </w:rPr>
      </w:pPr>
      <w:r w:rsidRPr="00446AE0">
        <w:rPr>
          <w:b/>
          <w:lang w:bidi="en-US"/>
        </w:rPr>
        <w:tab/>
      </w:r>
      <w:r w:rsidRPr="00EB0AC9">
        <w:rPr>
          <w:i/>
          <w:sz w:val="20"/>
          <w:lang w:bidi="en-US"/>
        </w:rPr>
        <w:t>60 to 90 minutes</w:t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  <w:t>60 minutes</w:t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  <w:t>Ongoing</w:t>
      </w:r>
    </w:p>
    <w:p w:rsidR="00446AE0" w:rsidRPr="00547A79" w:rsidRDefault="00446AE0" w:rsidP="00517412">
      <w:pPr>
        <w:pStyle w:val="texttitle"/>
        <w:spacing w:before="240"/>
      </w:pPr>
      <w:r w:rsidRPr="00547A79">
        <w:t>Objectives</w:t>
      </w:r>
    </w:p>
    <w:p w:rsidR="007351FD" w:rsidRPr="0040505A" w:rsidRDefault="007351FD" w:rsidP="007351FD">
      <w:pPr>
        <w:pStyle w:val="text"/>
        <w:rPr>
          <w:rFonts w:eastAsia="Calibri"/>
        </w:rPr>
      </w:pPr>
      <w:r w:rsidRPr="0040505A">
        <w:rPr>
          <w:rFonts w:eastAsia="Calibri"/>
        </w:rPr>
        <w:t>At the conclusion of the blended experience, managers will be able to:</w:t>
      </w:r>
    </w:p>
    <w:p w:rsidR="007351FD" w:rsidRPr="0040505A" w:rsidRDefault="007351FD" w:rsidP="007351FD">
      <w:pPr>
        <w:pStyle w:val="text"/>
        <w:rPr>
          <w:rFonts w:eastAsia="Calibri"/>
        </w:rPr>
      </w:pPr>
      <w:r w:rsidRPr="007351FD">
        <w:rPr>
          <w:b/>
        </w:rPr>
        <w:t>Determine what work to delegate and who to delegate it to</w:t>
      </w:r>
      <w:r w:rsidRPr="00BC4B9F">
        <w:t>.</w:t>
      </w:r>
      <w:r w:rsidRPr="00BC4B9F">
        <w:rPr>
          <w:rFonts w:eastAsia="Calibri"/>
        </w:rPr>
        <w:t xml:space="preserve"> Specifically</w:t>
      </w:r>
      <w:r w:rsidRPr="0040505A">
        <w:rPr>
          <w:rFonts w:eastAsia="Calibri"/>
        </w:rPr>
        <w:t>, the experience will help managers:</w:t>
      </w:r>
    </w:p>
    <w:p w:rsidR="007351FD" w:rsidRPr="002F29C1" w:rsidRDefault="007351FD" w:rsidP="002F29C1">
      <w:pPr>
        <w:pStyle w:val="introbullet"/>
      </w:pPr>
      <w:r w:rsidRPr="0040505A">
        <w:t xml:space="preserve">Identify their </w:t>
      </w:r>
      <w:r w:rsidRPr="002F29C1">
        <w:t>goals/purpose/reason for delegating</w:t>
      </w:r>
    </w:p>
    <w:p w:rsidR="007351FD" w:rsidRPr="002F29C1" w:rsidRDefault="007351FD" w:rsidP="002F29C1">
      <w:pPr>
        <w:pStyle w:val="introbullet"/>
      </w:pPr>
      <w:r w:rsidRPr="002F29C1">
        <w:t>Learn how to delegate work by task, project, or function</w:t>
      </w:r>
    </w:p>
    <w:p w:rsidR="007351FD" w:rsidRPr="002F29C1" w:rsidRDefault="007351FD" w:rsidP="002F29C1">
      <w:pPr>
        <w:pStyle w:val="introbullet"/>
      </w:pPr>
      <w:r w:rsidRPr="002F29C1">
        <w:t>Identify the type of work to delegate*</w:t>
      </w:r>
    </w:p>
    <w:p w:rsidR="007351FD" w:rsidRPr="002F29C1" w:rsidRDefault="007351FD" w:rsidP="002F29C1">
      <w:pPr>
        <w:pStyle w:val="introbullet"/>
      </w:pPr>
      <w:r w:rsidRPr="002F29C1">
        <w:t>Determine to whom they should delegate*</w:t>
      </w:r>
    </w:p>
    <w:p w:rsidR="007351FD" w:rsidRPr="002F29C1" w:rsidRDefault="007351FD" w:rsidP="00517412">
      <w:pPr>
        <w:pStyle w:val="introtext"/>
        <w:spacing w:before="240"/>
        <w:rPr>
          <w:rFonts w:eastAsia="Calibri"/>
        </w:rPr>
      </w:pPr>
      <w:r w:rsidRPr="002F29C1">
        <w:rPr>
          <w:rFonts w:eastAsia="Calibri"/>
          <w:b/>
        </w:rPr>
        <w:t>Communicate the assignment and secure commitment to the work</w:t>
      </w:r>
      <w:r w:rsidRPr="002F29C1">
        <w:rPr>
          <w:rFonts w:eastAsia="Calibri"/>
        </w:rPr>
        <w:t>. Specifically, the experience will help managers:</w:t>
      </w:r>
    </w:p>
    <w:p w:rsidR="007351FD" w:rsidRPr="002F29C1" w:rsidRDefault="007351FD" w:rsidP="002F29C1">
      <w:pPr>
        <w:pStyle w:val="introbullet"/>
      </w:pPr>
      <w:r w:rsidRPr="002F29C1">
        <w:t>Clearly explain the assignment to their direct reports*</w:t>
      </w:r>
    </w:p>
    <w:p w:rsidR="007351FD" w:rsidRPr="0040505A" w:rsidRDefault="007351FD" w:rsidP="002F29C1">
      <w:pPr>
        <w:pStyle w:val="introbullet"/>
      </w:pPr>
      <w:r w:rsidRPr="002F29C1">
        <w:t>Grant decision-making</w:t>
      </w:r>
      <w:r w:rsidRPr="0040505A">
        <w:t xml:space="preserve"> authority</w:t>
      </w:r>
    </w:p>
    <w:p w:rsidR="007351FD" w:rsidRPr="0040505A" w:rsidRDefault="007351FD" w:rsidP="00517412">
      <w:pPr>
        <w:pStyle w:val="introtext"/>
        <w:spacing w:before="240"/>
        <w:rPr>
          <w:rFonts w:eastAsia="Calibri"/>
          <w:color w:val="000000" w:themeColor="text1"/>
        </w:rPr>
      </w:pPr>
      <w:r w:rsidRPr="00E9792B">
        <w:rPr>
          <w:b/>
        </w:rPr>
        <w:t>Monitor and support their direct reports’ delegated work</w:t>
      </w:r>
      <w:r w:rsidRPr="00E9792B">
        <w:rPr>
          <w:rFonts w:eastAsia="Calibri"/>
          <w:b/>
          <w:color w:val="000000" w:themeColor="text1"/>
        </w:rPr>
        <w:t>.</w:t>
      </w:r>
      <w:r w:rsidRPr="0040505A">
        <w:rPr>
          <w:rFonts w:eastAsia="Calibri"/>
          <w:color w:val="000000" w:themeColor="text1"/>
        </w:rPr>
        <w:t xml:space="preserve"> Specifically, the experience will help managers:</w:t>
      </w:r>
    </w:p>
    <w:p w:rsidR="007351FD" w:rsidRPr="0040505A" w:rsidRDefault="007351FD" w:rsidP="002F29C1">
      <w:pPr>
        <w:pStyle w:val="introbullet"/>
      </w:pPr>
      <w:r w:rsidRPr="0040505A">
        <w:t xml:space="preserve">Track </w:t>
      </w:r>
      <w:r>
        <w:t xml:space="preserve">and monitor </w:t>
      </w:r>
      <w:r w:rsidRPr="0040505A">
        <w:t>delegated assignments</w:t>
      </w:r>
      <w:r>
        <w:t>*</w:t>
      </w:r>
    </w:p>
    <w:p w:rsidR="007351FD" w:rsidRPr="0040505A" w:rsidRDefault="007351FD" w:rsidP="002F29C1">
      <w:pPr>
        <w:pStyle w:val="introbullet"/>
      </w:pPr>
      <w:r w:rsidRPr="0040505A">
        <w:t>Provide support</w:t>
      </w:r>
      <w:r>
        <w:t>*</w:t>
      </w:r>
    </w:p>
    <w:p w:rsidR="007351FD" w:rsidRPr="002F29C1" w:rsidRDefault="007351FD" w:rsidP="002F29C1">
      <w:pPr>
        <w:pStyle w:val="introbullet"/>
      </w:pPr>
      <w:r w:rsidRPr="002F29C1">
        <w:lastRenderedPageBreak/>
        <w:t>Handle reverse delegation</w:t>
      </w:r>
    </w:p>
    <w:p w:rsidR="007351FD" w:rsidRPr="002F29C1" w:rsidRDefault="007351FD" w:rsidP="002F29C1">
      <w:pPr>
        <w:pStyle w:val="introbullet"/>
      </w:pPr>
      <w:r w:rsidRPr="002F29C1">
        <w:t>Resolve problems</w:t>
      </w:r>
    </w:p>
    <w:p w:rsidR="00512296" w:rsidRDefault="007351FD" w:rsidP="002F29C1">
      <w:pPr>
        <w:pStyle w:val="introbullet"/>
      </w:pPr>
      <w:r w:rsidRPr="002F29C1">
        <w:t>Identify</w:t>
      </w:r>
      <w:r w:rsidRPr="0040505A">
        <w:t xml:space="preserve"> lessons that can be applied to subsequent delegated assignments</w:t>
      </w:r>
    </w:p>
    <w:p w:rsidR="00DF557D" w:rsidRPr="00DF557D" w:rsidRDefault="00DF557D" w:rsidP="00512296">
      <w:pPr>
        <w:pStyle w:val="italic-nobullet"/>
      </w:pPr>
      <w:r w:rsidRPr="00DF557D">
        <w:t xml:space="preserve">*Objectives with an asterisk are included in Part 2, the Café session. </w:t>
      </w:r>
    </w:p>
    <w:p w:rsidR="00446AE0" w:rsidRDefault="00446AE0" w:rsidP="006678E7">
      <w:pPr>
        <w:pStyle w:val="texttitle"/>
      </w:pPr>
      <w:r w:rsidRPr="006678E7">
        <w:t xml:space="preserve">Part 1: </w:t>
      </w:r>
      <w:r w:rsidR="00DF098B" w:rsidRPr="006678E7">
        <w:t>S</w:t>
      </w:r>
      <w:r w:rsidRPr="006678E7">
        <w:t xml:space="preserve">elf-paced, Individual </w:t>
      </w:r>
      <w:r w:rsidR="002F29C1">
        <w:t>P</w:t>
      </w:r>
      <w:r w:rsidRPr="006678E7">
        <w:t>reparation</w:t>
      </w:r>
    </w:p>
    <w:p w:rsidR="007351FD" w:rsidRPr="007351FD" w:rsidRDefault="007351FD" w:rsidP="007351FD">
      <w:pPr>
        <w:pStyle w:val="text"/>
      </w:pPr>
      <w:r w:rsidRPr="007351FD">
        <w:t>Prior to the live Café session, participants are expected to complete the following assignments:</w:t>
      </w:r>
    </w:p>
    <w:p w:rsidR="007351FD" w:rsidRPr="007351FD" w:rsidRDefault="007351FD" w:rsidP="002F29C1">
      <w:pPr>
        <w:pStyle w:val="introbullet"/>
      </w:pPr>
      <w:r w:rsidRPr="007351FD">
        <w:t xml:space="preserve">Review the following online lessons from the Harvard </w:t>
      </w:r>
      <w:proofErr w:type="spellStart"/>
      <w:r w:rsidRPr="007351FD">
        <w:t>ManageMentor</w:t>
      </w:r>
      <w:proofErr w:type="spellEnd"/>
      <w:r w:rsidR="00682DA4">
        <w:t xml:space="preserve"> </w:t>
      </w:r>
      <w:r w:rsidRPr="007351FD">
        <w:t>Delegating topic:</w:t>
      </w:r>
    </w:p>
    <w:p w:rsidR="007351FD" w:rsidRPr="007351FD" w:rsidRDefault="007351FD" w:rsidP="007351FD">
      <w:pPr>
        <w:pStyle w:val="dashpoint"/>
      </w:pPr>
      <w:r w:rsidRPr="007351FD">
        <w:t>The Delegation Advantage</w:t>
      </w:r>
    </w:p>
    <w:p w:rsidR="007351FD" w:rsidRPr="007351FD" w:rsidRDefault="007351FD" w:rsidP="007351FD">
      <w:pPr>
        <w:pStyle w:val="dashpoint"/>
      </w:pPr>
      <w:r w:rsidRPr="007351FD">
        <w:t>Prepare to Delegate</w:t>
      </w:r>
    </w:p>
    <w:p w:rsidR="007351FD" w:rsidRPr="007351FD" w:rsidRDefault="007351FD" w:rsidP="007351FD">
      <w:pPr>
        <w:pStyle w:val="dashpoint"/>
      </w:pPr>
      <w:r w:rsidRPr="007351FD">
        <w:t>Communicate the Assignment</w:t>
      </w:r>
    </w:p>
    <w:p w:rsidR="007351FD" w:rsidRPr="007351FD" w:rsidRDefault="007351FD" w:rsidP="007351FD">
      <w:pPr>
        <w:pStyle w:val="dashpoint"/>
      </w:pPr>
      <w:r w:rsidRPr="007351FD">
        <w:t>Monitor and Support the Work</w:t>
      </w:r>
    </w:p>
    <w:p w:rsidR="007351FD" w:rsidRPr="007351FD" w:rsidRDefault="007351FD" w:rsidP="002F29C1">
      <w:pPr>
        <w:pStyle w:val="introbullet"/>
      </w:pPr>
      <w:r w:rsidRPr="007351FD">
        <w:t xml:space="preserve">Complete the online comprehension test from the Harvard </w:t>
      </w:r>
      <w:proofErr w:type="spellStart"/>
      <w:r w:rsidRPr="007351FD">
        <w:t>ManageMentor</w:t>
      </w:r>
      <w:proofErr w:type="spellEnd"/>
      <w:r w:rsidR="00E9792B">
        <w:br/>
      </w:r>
      <w:r w:rsidRPr="007351FD">
        <w:t>Delegating topic</w:t>
      </w:r>
    </w:p>
    <w:p w:rsidR="007351FD" w:rsidRPr="007351FD" w:rsidRDefault="007351FD" w:rsidP="002F29C1">
      <w:pPr>
        <w:pStyle w:val="introbullet"/>
      </w:pPr>
      <w:r w:rsidRPr="007351FD">
        <w:t>Identify a task that they are thinking about delegating so they can apply the activities in the Café to their situations</w:t>
      </w:r>
    </w:p>
    <w:p w:rsidR="00DF557D" w:rsidRPr="00DF557D" w:rsidRDefault="00DF557D" w:rsidP="007351FD">
      <w:pPr>
        <w:pStyle w:val="texttitle"/>
      </w:pPr>
      <w:r w:rsidRPr="00DF557D">
        <w:t xml:space="preserve">Part 2: Live, </w:t>
      </w:r>
      <w:r w:rsidR="002F29C1">
        <w:t>G</w:t>
      </w:r>
      <w:r w:rsidRPr="00DF557D">
        <w:t xml:space="preserve">roup-based Café </w:t>
      </w:r>
      <w:r w:rsidR="002F29C1">
        <w:t>S</w:t>
      </w:r>
      <w:r w:rsidRPr="00DF557D">
        <w:t>ession</w:t>
      </w:r>
    </w:p>
    <w:p w:rsidR="007351FD" w:rsidRPr="007351FD" w:rsidRDefault="007351FD" w:rsidP="007351FD">
      <w:pPr>
        <w:pStyle w:val="text"/>
      </w:pPr>
      <w:r w:rsidRPr="007351FD">
        <w:t>The Café session</w:t>
      </w:r>
      <w:r w:rsidR="002F29C1">
        <w:t xml:space="preserve"> </w:t>
      </w:r>
      <w:r w:rsidRPr="007351FD">
        <w:t>represents the core element of the learning experience. The purpose of this session is to provide an opportunity for managers to:</w:t>
      </w:r>
    </w:p>
    <w:p w:rsidR="007351FD" w:rsidRPr="007351FD" w:rsidRDefault="007351FD" w:rsidP="002F29C1">
      <w:pPr>
        <w:pStyle w:val="introbullet"/>
      </w:pPr>
      <w:r w:rsidRPr="007351FD">
        <w:t>Exchange ideas and questions with others</w:t>
      </w:r>
    </w:p>
    <w:p w:rsidR="007351FD" w:rsidRPr="007351FD" w:rsidRDefault="007351FD" w:rsidP="002F29C1">
      <w:pPr>
        <w:pStyle w:val="introbullet"/>
      </w:pPr>
      <w:r w:rsidRPr="007351FD">
        <w:t>Discuss how concepts and skills apply in the workplace</w:t>
      </w:r>
    </w:p>
    <w:p w:rsidR="007351FD" w:rsidRPr="007351FD" w:rsidRDefault="007351FD" w:rsidP="002F29C1">
      <w:pPr>
        <w:pStyle w:val="introbullet"/>
      </w:pPr>
      <w:r w:rsidRPr="007351FD">
        <w:t>Practice and begin application of those concepts and skills</w:t>
      </w:r>
    </w:p>
    <w:p w:rsidR="007351FD" w:rsidRPr="007351FD" w:rsidRDefault="007351FD" w:rsidP="002F29C1">
      <w:pPr>
        <w:pStyle w:val="introbullet"/>
      </w:pPr>
      <w:r w:rsidRPr="007351FD">
        <w:t>Build momentum and support for applying the concepts and skills in the workplace</w:t>
      </w:r>
    </w:p>
    <w:p w:rsidR="00517412" w:rsidRDefault="007351FD" w:rsidP="00517412">
      <w:pPr>
        <w:pStyle w:val="introtext"/>
        <w:tabs>
          <w:tab w:val="left" w:pos="8280"/>
          <w:tab w:val="left" w:pos="9000"/>
        </w:tabs>
        <w:ind w:right="990"/>
        <w:rPr>
          <w:lang w:bidi="en-US"/>
        </w:rPr>
      </w:pPr>
      <w:r w:rsidRPr="007351FD">
        <w:rPr>
          <w:lang w:bidi="en-US"/>
        </w:rPr>
        <w:t>Working through the live Café session guide should take approximately 60 minutes. If the facilitator prefers a shorter session or wishes to spend more time on a specific concept or activity, he or she may want to cover only those concepts and activities that are most relevant to the group.</w:t>
      </w:r>
    </w:p>
    <w:p w:rsidR="00517412" w:rsidRDefault="00517412">
      <w:pPr>
        <w:rPr>
          <w:rFonts w:ascii="Arial" w:eastAsia="Times New Roman" w:hAnsi="Arial" w:cs="Times New Roman"/>
          <w:bCs/>
          <w:iCs/>
          <w:lang w:bidi="en-US"/>
        </w:rPr>
      </w:pPr>
      <w:r>
        <w:rPr>
          <w:lang w:bidi="en-US"/>
        </w:rPr>
        <w:br w:type="page"/>
      </w:r>
    </w:p>
    <w:tbl>
      <w:tblPr>
        <w:tblW w:w="9540" w:type="dxa"/>
        <w:tblInd w:w="108" w:type="dxa"/>
        <w:tblBorders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1890"/>
        <w:gridCol w:w="5850"/>
        <w:gridCol w:w="1800"/>
      </w:tblGrid>
      <w:tr w:rsidR="00446AE0" w:rsidRPr="00446AE0" w:rsidTr="00E9792B">
        <w:trPr>
          <w:trHeight w:val="576"/>
          <w:tblHeader/>
        </w:trPr>
        <w:tc>
          <w:tcPr>
            <w:tcW w:w="189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446AE0" w:rsidRPr="00AF3A8D" w:rsidRDefault="00E24B7A" w:rsidP="00E24B7A">
            <w:pPr>
              <w:pStyle w:val="columnheads"/>
            </w:pPr>
            <w:r w:rsidRPr="00AF3A8D">
              <w:lastRenderedPageBreak/>
              <w:t>SECTION</w:t>
            </w:r>
          </w:p>
        </w:tc>
        <w:tc>
          <w:tcPr>
            <w:tcW w:w="585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446AE0" w:rsidRPr="00E24B7A" w:rsidRDefault="00E24B7A" w:rsidP="00D85B81">
            <w:pPr>
              <w:pStyle w:val="columnheads"/>
              <w:ind w:right="72"/>
            </w:pPr>
            <w:r w:rsidRPr="00446AE0">
              <w:t>ACTIVITY</w:t>
            </w:r>
          </w:p>
        </w:tc>
        <w:tc>
          <w:tcPr>
            <w:tcW w:w="180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446AE0" w:rsidRPr="00E24B7A" w:rsidRDefault="00E24B7A" w:rsidP="00E24B7A">
            <w:pPr>
              <w:pStyle w:val="columnheads"/>
            </w:pPr>
            <w:r w:rsidRPr="00446AE0">
              <w:t>TIME</w:t>
            </w:r>
          </w:p>
        </w:tc>
      </w:tr>
      <w:tr w:rsidR="00446AE0" w:rsidRPr="00446AE0" w:rsidTr="00517412">
        <w:trPr>
          <w:trHeight w:val="1781"/>
        </w:trPr>
        <w:tc>
          <w:tcPr>
            <w:tcW w:w="189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</w:tcPr>
          <w:p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>Introduction</w:t>
            </w:r>
          </w:p>
        </w:tc>
        <w:tc>
          <w:tcPr>
            <w:tcW w:w="585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:rsidR="00CE567A" w:rsidRPr="00CE567A" w:rsidRDefault="00CE567A" w:rsidP="00AD5AC5">
            <w:pPr>
              <w:pStyle w:val="introbullet"/>
              <w:tabs>
                <w:tab w:val="left" w:pos="5285"/>
                <w:tab w:val="left" w:pos="5375"/>
              </w:tabs>
              <w:ind w:right="335"/>
            </w:pPr>
            <w:r w:rsidRPr="00CE567A">
              <w:t>Show icebreaker question while participants are arriving to the session (What prevents you from delegating?).</w:t>
            </w:r>
          </w:p>
          <w:p w:rsidR="00CE567A" w:rsidRPr="00CE567A" w:rsidRDefault="00CE567A" w:rsidP="00AD5AC5">
            <w:pPr>
              <w:pStyle w:val="introbullet"/>
              <w:tabs>
                <w:tab w:val="left" w:pos="5285"/>
                <w:tab w:val="left" w:pos="5375"/>
              </w:tabs>
              <w:ind w:right="335"/>
            </w:pPr>
            <w:r w:rsidRPr="00CE567A">
              <w:t>Introduce facilitators.</w:t>
            </w:r>
          </w:p>
          <w:p w:rsidR="00CE567A" w:rsidRPr="00CE567A" w:rsidRDefault="00CE567A" w:rsidP="00AD5AC5">
            <w:pPr>
              <w:pStyle w:val="introbullet"/>
              <w:tabs>
                <w:tab w:val="left" w:pos="5285"/>
                <w:tab w:val="left" w:pos="5375"/>
              </w:tabs>
              <w:ind w:right="335"/>
            </w:pPr>
            <w:r w:rsidRPr="00CE567A">
              <w:t>Review tips for using technology during the session.</w:t>
            </w:r>
          </w:p>
          <w:p w:rsidR="00CE567A" w:rsidRPr="00CE567A" w:rsidRDefault="00CE567A" w:rsidP="00AD5AC5">
            <w:pPr>
              <w:pStyle w:val="introbullet"/>
              <w:tabs>
                <w:tab w:val="left" w:pos="5285"/>
                <w:tab w:val="left" w:pos="5375"/>
              </w:tabs>
              <w:ind w:right="335"/>
            </w:pPr>
            <w:r w:rsidRPr="00CE567A">
              <w:t>Set context: How does delegation benefit managers, their direct reports, and the organization?</w:t>
            </w:r>
          </w:p>
          <w:p w:rsidR="00CE567A" w:rsidRPr="00CE567A" w:rsidRDefault="00CE567A" w:rsidP="00AD5AC5">
            <w:pPr>
              <w:pStyle w:val="introbullet"/>
              <w:tabs>
                <w:tab w:val="left" w:pos="5285"/>
                <w:tab w:val="left" w:pos="5375"/>
              </w:tabs>
              <w:ind w:right="335"/>
            </w:pPr>
            <w:r w:rsidRPr="00CE567A">
              <w:t>Debrief icebreaker question.</w:t>
            </w:r>
          </w:p>
          <w:p w:rsidR="00446AE0" w:rsidRPr="00446AE0" w:rsidRDefault="00CE567A" w:rsidP="00AD5AC5">
            <w:pPr>
              <w:pStyle w:val="introbullet"/>
              <w:tabs>
                <w:tab w:val="left" w:pos="5285"/>
                <w:tab w:val="left" w:pos="5375"/>
              </w:tabs>
              <w:ind w:right="335"/>
            </w:pPr>
            <w:r w:rsidRPr="00CE567A">
              <w:t>Review session objectives.</w:t>
            </w:r>
          </w:p>
        </w:tc>
        <w:tc>
          <w:tcPr>
            <w:tcW w:w="180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:rsidR="00446AE0" w:rsidRPr="00446AE0" w:rsidRDefault="00446AE0" w:rsidP="00D85B81">
            <w:pPr>
              <w:pStyle w:val="text"/>
            </w:pPr>
            <w:r w:rsidRPr="00446AE0">
              <w:t>8 minutes</w:t>
            </w:r>
          </w:p>
        </w:tc>
      </w:tr>
      <w:tr w:rsidR="00446AE0" w:rsidRPr="00446AE0" w:rsidTr="00E9792B">
        <w:trPr>
          <w:trHeight w:val="576"/>
        </w:trPr>
        <w:tc>
          <w:tcPr>
            <w:tcW w:w="1890" w:type="dxa"/>
            <w:shd w:val="clear" w:color="auto" w:fill="F2F2F2" w:themeFill="background1" w:themeFillShade="F2"/>
          </w:tcPr>
          <w:p w:rsidR="00446AE0" w:rsidRPr="00AF3A8D" w:rsidRDefault="00446AE0" w:rsidP="00C93404">
            <w:pPr>
              <w:pStyle w:val="text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 w:rsidR="00CE567A" w:rsidRPr="00CE567A">
              <w:rPr>
                <w:b/>
              </w:rPr>
              <w:t>Prepare</w:t>
            </w:r>
            <w:r w:rsidR="002F29C1">
              <w:rPr>
                <w:b/>
              </w:rPr>
              <w:t xml:space="preserve"> </w:t>
            </w:r>
            <w:r w:rsidR="00CE567A" w:rsidRPr="00CE567A">
              <w:rPr>
                <w:b/>
              </w:rPr>
              <w:t>to delegate</w:t>
            </w:r>
          </w:p>
        </w:tc>
        <w:tc>
          <w:tcPr>
            <w:tcW w:w="5850" w:type="dxa"/>
            <w:shd w:val="clear" w:color="auto" w:fill="F2F2F2" w:themeFill="background1" w:themeFillShade="F2"/>
          </w:tcPr>
          <w:p w:rsidR="00CE567A" w:rsidRPr="00CE567A" w:rsidRDefault="00CE567A" w:rsidP="00AD5AC5">
            <w:pPr>
              <w:pStyle w:val="firsttablebullet"/>
              <w:tabs>
                <w:tab w:val="left" w:pos="5292"/>
              </w:tabs>
              <w:ind w:right="342"/>
            </w:pPr>
            <w:r w:rsidRPr="00CE567A">
              <w:t>Facilitate practice activity: Review a scenario where a manager needs to delegate work. Participants:</w:t>
            </w:r>
          </w:p>
          <w:p w:rsidR="00CE567A" w:rsidRPr="00CE567A" w:rsidRDefault="00CE567A" w:rsidP="00AD5AC5">
            <w:pPr>
              <w:pStyle w:val="dashpoint"/>
              <w:tabs>
                <w:tab w:val="left" w:pos="5292"/>
              </w:tabs>
              <w:ind w:right="342"/>
            </w:pPr>
            <w:r w:rsidRPr="00CE567A">
              <w:t>Identify tasks that are appropriate for delegation</w:t>
            </w:r>
          </w:p>
          <w:p w:rsidR="00CE567A" w:rsidRPr="00CE567A" w:rsidRDefault="00CE567A" w:rsidP="00AD5AC5">
            <w:pPr>
              <w:pStyle w:val="dashpoint"/>
              <w:tabs>
                <w:tab w:val="left" w:pos="5292"/>
              </w:tabs>
              <w:ind w:right="342"/>
            </w:pPr>
            <w:r w:rsidRPr="00CE567A">
              <w:t>Select the right person for the job</w:t>
            </w:r>
          </w:p>
          <w:p w:rsidR="00CE567A" w:rsidRPr="00CE567A" w:rsidRDefault="00CE567A" w:rsidP="00AD5AC5">
            <w:pPr>
              <w:pStyle w:val="introbullet"/>
              <w:tabs>
                <w:tab w:val="left" w:pos="5292"/>
              </w:tabs>
              <w:ind w:right="342"/>
            </w:pPr>
            <w:r w:rsidRPr="00CE567A">
              <w:t>Review tips on what to delegate and to whom.</w:t>
            </w:r>
          </w:p>
          <w:p w:rsidR="00446AE0" w:rsidRPr="00446AE0" w:rsidRDefault="00CE567A" w:rsidP="00AD5AC5">
            <w:pPr>
              <w:pStyle w:val="introbullet"/>
              <w:tabs>
                <w:tab w:val="left" w:pos="5292"/>
              </w:tabs>
              <w:ind w:right="342"/>
            </w:pPr>
            <w:r w:rsidRPr="00CE567A">
              <w:t>Reflection activity: Learners identify a real</w:t>
            </w:r>
            <w:r w:rsidR="002F29C1">
              <w:t xml:space="preserve"> </w:t>
            </w:r>
            <w:r w:rsidRPr="00CE567A">
              <w:t>work task</w:t>
            </w:r>
            <w:r w:rsidR="002F29C1">
              <w:t xml:space="preserve"> </w:t>
            </w:r>
            <w:r w:rsidRPr="00CE567A">
              <w:t>to delegate and an appropriate person to delegate it to.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446AE0" w:rsidRPr="00446AE0" w:rsidRDefault="00446AE0" w:rsidP="00CE567A">
            <w:pPr>
              <w:pStyle w:val="text"/>
            </w:pPr>
            <w:r w:rsidRPr="00446AE0">
              <w:t>1</w:t>
            </w:r>
            <w:r w:rsidR="00CE567A">
              <w:t>8</w:t>
            </w:r>
            <w:r w:rsidRPr="00446AE0">
              <w:t xml:space="preserve"> minutes</w:t>
            </w:r>
          </w:p>
        </w:tc>
      </w:tr>
      <w:tr w:rsidR="00446AE0" w:rsidRPr="00446AE0" w:rsidTr="00E9792B">
        <w:trPr>
          <w:trHeight w:val="3003"/>
        </w:trPr>
        <w:tc>
          <w:tcPr>
            <w:tcW w:w="1890" w:type="dxa"/>
            <w:shd w:val="clear" w:color="auto" w:fill="F2F2F2" w:themeFill="background1" w:themeFillShade="F2"/>
          </w:tcPr>
          <w:p w:rsidR="00446AE0" w:rsidRPr="00AF3A8D" w:rsidRDefault="00446AE0" w:rsidP="00A0722A">
            <w:pPr>
              <w:pStyle w:val="text"/>
              <w:ind w:right="162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 w:rsidR="00CE567A" w:rsidRPr="00CE567A">
              <w:rPr>
                <w:b/>
              </w:rPr>
              <w:t>Communicate the assignment</w:t>
            </w:r>
          </w:p>
        </w:tc>
        <w:tc>
          <w:tcPr>
            <w:tcW w:w="5850" w:type="dxa"/>
            <w:shd w:val="clear" w:color="auto" w:fill="F2F2F2" w:themeFill="background1" w:themeFillShade="F2"/>
          </w:tcPr>
          <w:p w:rsidR="00CE567A" w:rsidRPr="00CE567A" w:rsidRDefault="00CE567A" w:rsidP="00AD5AC5">
            <w:pPr>
              <w:pStyle w:val="firsttablebullet"/>
              <w:ind w:right="72"/>
            </w:pPr>
            <w:r w:rsidRPr="00CE567A">
              <w:t>Facilitate practice activity: Prepare to communicate an assignment. Participants:</w:t>
            </w:r>
          </w:p>
          <w:p w:rsidR="00CE567A" w:rsidRPr="00CE567A" w:rsidRDefault="00CE567A" w:rsidP="00CE567A">
            <w:pPr>
              <w:pStyle w:val="dashpoint"/>
            </w:pPr>
            <w:r w:rsidRPr="00CE567A">
              <w:t>Improve a statement that explains the delegated task</w:t>
            </w:r>
          </w:p>
          <w:p w:rsidR="00CE567A" w:rsidRPr="00CE567A" w:rsidRDefault="00CE567A" w:rsidP="002F29C1">
            <w:pPr>
              <w:pStyle w:val="introbullet"/>
            </w:pPr>
            <w:r w:rsidRPr="00CE567A">
              <w:t xml:space="preserve">Review “Six steps for communicating an assignment” from online Harvard </w:t>
            </w:r>
            <w:proofErr w:type="spellStart"/>
            <w:r w:rsidRPr="00CE567A">
              <w:t>ManageMentor</w:t>
            </w:r>
            <w:proofErr w:type="spellEnd"/>
            <w:r w:rsidRPr="00CE567A">
              <w:t xml:space="preserve"> Delegating topic.</w:t>
            </w:r>
          </w:p>
          <w:p w:rsidR="00446AE0" w:rsidRPr="00446AE0" w:rsidRDefault="00CE567A" w:rsidP="00517412">
            <w:pPr>
              <w:pStyle w:val="introbullet"/>
              <w:ind w:right="522"/>
            </w:pPr>
            <w:r w:rsidRPr="00CE567A">
              <w:t>Reflection activity: Learners determine how they will explain the work assignment they previously identified to their direct reports.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446AE0" w:rsidRPr="00446AE0" w:rsidRDefault="00446AE0" w:rsidP="00CE567A">
            <w:pPr>
              <w:pStyle w:val="text"/>
            </w:pPr>
            <w:r w:rsidRPr="00446AE0">
              <w:t>1</w:t>
            </w:r>
            <w:r w:rsidR="00CE567A">
              <w:t>3</w:t>
            </w:r>
            <w:r w:rsidRPr="00446AE0">
              <w:t xml:space="preserve"> minutes</w:t>
            </w:r>
          </w:p>
        </w:tc>
      </w:tr>
      <w:tr w:rsidR="00446AE0" w:rsidRPr="00446AE0" w:rsidTr="00517412">
        <w:trPr>
          <w:trHeight w:val="4416"/>
        </w:trPr>
        <w:tc>
          <w:tcPr>
            <w:tcW w:w="1890" w:type="dxa"/>
            <w:shd w:val="clear" w:color="auto" w:fill="F2F2F2" w:themeFill="background1" w:themeFillShade="F2"/>
          </w:tcPr>
          <w:p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lastRenderedPageBreak/>
              <w:t xml:space="preserve">Skill focus: </w:t>
            </w:r>
            <w:r w:rsidR="00CE567A" w:rsidRPr="00CE567A">
              <w:rPr>
                <w:b/>
              </w:rPr>
              <w:t>Monitor and support the work</w:t>
            </w:r>
          </w:p>
        </w:tc>
        <w:tc>
          <w:tcPr>
            <w:tcW w:w="5850" w:type="dxa"/>
            <w:shd w:val="clear" w:color="auto" w:fill="F2F2F2" w:themeFill="background1" w:themeFillShade="F2"/>
          </w:tcPr>
          <w:p w:rsidR="00CE567A" w:rsidRPr="00CE567A" w:rsidRDefault="00CE567A" w:rsidP="00AD5AC5">
            <w:pPr>
              <w:pStyle w:val="firsttablebullet"/>
              <w:tabs>
                <w:tab w:val="left" w:pos="5562"/>
              </w:tabs>
              <w:ind w:right="72"/>
            </w:pPr>
            <w:r w:rsidRPr="00CE567A">
              <w:t>Review potential methods for monitoring progress</w:t>
            </w:r>
            <w:r w:rsidR="002F29C1">
              <w:t xml:space="preserve"> </w:t>
            </w:r>
            <w:r w:rsidRPr="00CE567A">
              <w:t>in the context of the scenario.</w:t>
            </w:r>
          </w:p>
          <w:p w:rsidR="00CE567A" w:rsidRPr="00CE567A" w:rsidRDefault="00CE567A" w:rsidP="00AD5AC5">
            <w:pPr>
              <w:pStyle w:val="introbullet"/>
              <w:tabs>
                <w:tab w:val="left" w:pos="5562"/>
              </w:tabs>
              <w:ind w:right="72"/>
            </w:pPr>
            <w:r w:rsidRPr="00CE567A">
              <w:t>Facilitate practice activity: Practice supporting the work. Participants:</w:t>
            </w:r>
          </w:p>
          <w:p w:rsidR="00CE567A" w:rsidRPr="00CE567A" w:rsidRDefault="00CE567A" w:rsidP="00CE567A">
            <w:pPr>
              <w:pStyle w:val="dashpoint"/>
            </w:pPr>
            <w:r w:rsidRPr="00CE567A">
              <w:t xml:space="preserve">Identify effective strategies for supporting direct reports in the context of the scenario </w:t>
            </w:r>
          </w:p>
          <w:p w:rsidR="00CE567A" w:rsidRPr="00CE567A" w:rsidRDefault="00CE567A" w:rsidP="002F29C1">
            <w:pPr>
              <w:pStyle w:val="introbullet"/>
            </w:pPr>
            <w:r w:rsidRPr="00CE567A">
              <w:t xml:space="preserve">Debrief Harvard </w:t>
            </w:r>
            <w:proofErr w:type="spellStart"/>
            <w:r w:rsidRPr="00CE567A">
              <w:t>ManageMentor</w:t>
            </w:r>
            <w:proofErr w:type="spellEnd"/>
            <w:r w:rsidRPr="00CE567A">
              <w:t xml:space="preserve"> Worksheet activity “How helpful is your support?” Participants:</w:t>
            </w:r>
          </w:p>
          <w:p w:rsidR="00CE567A" w:rsidRPr="00CE567A" w:rsidRDefault="00CE567A" w:rsidP="00CE567A">
            <w:pPr>
              <w:pStyle w:val="dashpoint"/>
            </w:pPr>
            <w:r w:rsidRPr="00CE567A">
              <w:t>Identify common areas that require improvement</w:t>
            </w:r>
          </w:p>
          <w:p w:rsidR="00CE567A" w:rsidRPr="00CE567A" w:rsidRDefault="00CE567A" w:rsidP="00CE567A">
            <w:pPr>
              <w:pStyle w:val="dashpoint"/>
            </w:pPr>
            <w:r w:rsidRPr="00CE567A">
              <w:t>Share ideas for improving in those skill areas</w:t>
            </w:r>
          </w:p>
          <w:p w:rsidR="00446AE0" w:rsidRPr="00446AE0" w:rsidRDefault="00CE567A" w:rsidP="002F29C1">
            <w:pPr>
              <w:pStyle w:val="introbullet"/>
              <w:ind w:right="522"/>
            </w:pPr>
            <w:r w:rsidRPr="00CE567A">
              <w:t>Reflection activity: Learners identify ho</w:t>
            </w:r>
            <w:bookmarkStart w:id="0" w:name="_GoBack"/>
            <w:bookmarkEnd w:id="0"/>
            <w:r w:rsidRPr="00CE567A">
              <w:t>w</w:t>
            </w:r>
            <w:r w:rsidR="002F29C1">
              <w:t xml:space="preserve"> </w:t>
            </w:r>
            <w:r w:rsidRPr="00CE567A">
              <w:t>they plan to monitor the real</w:t>
            </w:r>
            <w:r w:rsidR="002F29C1">
              <w:t xml:space="preserve"> </w:t>
            </w:r>
            <w:r w:rsidRPr="00CE567A">
              <w:t>work assignment and support their direct reports.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446AE0" w:rsidRPr="00446AE0" w:rsidRDefault="00C93404" w:rsidP="00CE567A">
            <w:pPr>
              <w:pStyle w:val="text"/>
            </w:pPr>
            <w:r>
              <w:t>1</w:t>
            </w:r>
            <w:r w:rsidR="00CE567A">
              <w:t>8</w:t>
            </w:r>
            <w:r w:rsidR="00446AE0" w:rsidRPr="00446AE0">
              <w:t xml:space="preserve"> minutes</w:t>
            </w:r>
          </w:p>
        </w:tc>
      </w:tr>
      <w:tr w:rsidR="00446AE0" w:rsidRPr="00446AE0" w:rsidTr="00E9792B">
        <w:trPr>
          <w:trHeight w:val="2328"/>
        </w:trPr>
        <w:tc>
          <w:tcPr>
            <w:tcW w:w="1890" w:type="dxa"/>
            <w:shd w:val="clear" w:color="auto" w:fill="F2F2F2" w:themeFill="background1" w:themeFillShade="F2"/>
          </w:tcPr>
          <w:p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 xml:space="preserve">Applying what you’ve learned </w:t>
            </w:r>
          </w:p>
        </w:tc>
        <w:tc>
          <w:tcPr>
            <w:tcW w:w="5850" w:type="dxa"/>
            <w:shd w:val="clear" w:color="auto" w:fill="F2F2F2" w:themeFill="background1" w:themeFillShade="F2"/>
          </w:tcPr>
          <w:p w:rsidR="00CE567A" w:rsidRPr="00CE567A" w:rsidRDefault="00CE567A" w:rsidP="002F29C1">
            <w:pPr>
              <w:pStyle w:val="firsttablebullet"/>
            </w:pPr>
            <w:r w:rsidRPr="00CE567A">
              <w:t>Review session objectives and skill areas discussed.</w:t>
            </w:r>
          </w:p>
          <w:p w:rsidR="00CE567A" w:rsidRPr="00CE567A" w:rsidRDefault="00CE567A" w:rsidP="00BE4F9A">
            <w:pPr>
              <w:pStyle w:val="introbullet"/>
              <w:tabs>
                <w:tab w:val="left" w:pos="5472"/>
              </w:tabs>
              <w:ind w:right="252"/>
            </w:pPr>
            <w:r w:rsidRPr="00CE567A">
              <w:t xml:space="preserve">Review directions for completing the On-the-Job section of the online Harvard </w:t>
            </w:r>
            <w:proofErr w:type="spellStart"/>
            <w:r w:rsidRPr="00CE567A">
              <w:t>ManageMentor</w:t>
            </w:r>
            <w:proofErr w:type="spellEnd"/>
            <w:r w:rsidRPr="00CE567A">
              <w:t xml:space="preserve"> topic, including the action plan.</w:t>
            </w:r>
          </w:p>
          <w:p w:rsidR="00446AE0" w:rsidRPr="00446AE0" w:rsidRDefault="00CE567A" w:rsidP="002F29C1">
            <w:pPr>
              <w:pStyle w:val="introbullet"/>
            </w:pPr>
            <w:r w:rsidRPr="00CE567A">
              <w:t>Close the session.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446AE0" w:rsidRPr="00446AE0" w:rsidRDefault="00CE567A" w:rsidP="00D85B81">
            <w:pPr>
              <w:pStyle w:val="text"/>
            </w:pPr>
            <w:r>
              <w:t>3</w:t>
            </w:r>
            <w:r w:rsidR="002F29C1">
              <w:t xml:space="preserve"> </w:t>
            </w:r>
            <w:r w:rsidR="00446AE0" w:rsidRPr="00446AE0">
              <w:t>minutes</w:t>
            </w:r>
          </w:p>
        </w:tc>
      </w:tr>
    </w:tbl>
    <w:p w:rsidR="00446AE0" w:rsidRPr="00446AE0" w:rsidRDefault="00446AE0" w:rsidP="006678E7">
      <w:pPr>
        <w:pStyle w:val="texttitle"/>
      </w:pPr>
      <w:r w:rsidRPr="00446AE0">
        <w:t xml:space="preserve">Part 3: </w:t>
      </w:r>
      <w:r w:rsidR="00A72BA0">
        <w:t>S</w:t>
      </w:r>
      <w:r w:rsidRPr="00485A6A">
        <w:t>elf</w:t>
      </w:r>
      <w:r w:rsidRPr="00446AE0">
        <w:t>-paced, Individual</w:t>
      </w:r>
      <w:r w:rsidR="00AB3CA6">
        <w:t xml:space="preserve"> </w:t>
      </w:r>
      <w:r w:rsidR="00940DEB">
        <w:t>A</w:t>
      </w:r>
      <w:r w:rsidR="00EA3A1B" w:rsidRPr="00446AE0">
        <w:t>pplication</w:t>
      </w:r>
    </w:p>
    <w:p w:rsidR="00CE567A" w:rsidRPr="00CE567A" w:rsidRDefault="00CE567A" w:rsidP="00CE567A">
      <w:pPr>
        <w:pStyle w:val="text"/>
      </w:pPr>
      <w:r w:rsidRPr="00CE567A">
        <w:t>After the live Café session, participants are expected to complete the following assignments:</w:t>
      </w:r>
    </w:p>
    <w:p w:rsidR="00CE567A" w:rsidRPr="00CE567A" w:rsidRDefault="00CE567A" w:rsidP="002F29C1">
      <w:pPr>
        <w:pStyle w:val="introbullet"/>
      </w:pPr>
      <w:r w:rsidRPr="00CE567A">
        <w:t xml:space="preserve">Complete the online On-the-Job section in the Harvard </w:t>
      </w:r>
      <w:proofErr w:type="spellStart"/>
      <w:r w:rsidRPr="00CE567A">
        <w:t>ManageMentor</w:t>
      </w:r>
      <w:proofErr w:type="spellEnd"/>
      <w:r w:rsidR="00682DA4">
        <w:t xml:space="preserve"> </w:t>
      </w:r>
      <w:r w:rsidR="009950A3">
        <w:t xml:space="preserve">Delegating </w:t>
      </w:r>
      <w:r w:rsidRPr="00CE567A">
        <w:t xml:space="preserve">topic. The section provides learners with an opportunity to choose a skill to focus on and create an action plan for applying and developing the skill. </w:t>
      </w:r>
    </w:p>
    <w:p w:rsidR="00CE567A" w:rsidRPr="00CE567A" w:rsidRDefault="00CE567A" w:rsidP="002F29C1">
      <w:pPr>
        <w:pStyle w:val="introbullet"/>
      </w:pPr>
      <w:r w:rsidRPr="00CE567A">
        <w:t>Execute their action plan over a specified timeframe (e.g., 60 or 90 days).</w:t>
      </w:r>
    </w:p>
    <w:p w:rsidR="00446AE0" w:rsidRPr="00446AE0" w:rsidRDefault="00CE567A" w:rsidP="002F29C1">
      <w:pPr>
        <w:pStyle w:val="introbullet"/>
      </w:pPr>
      <w:r w:rsidRPr="00CE567A">
        <w:t xml:space="preserve">After the specified timeframe (e.g., 60 or 90 days), access the online On-the-Job section in the Harvard </w:t>
      </w:r>
      <w:proofErr w:type="spellStart"/>
      <w:r w:rsidRPr="00CE567A">
        <w:t>ManageMentor</w:t>
      </w:r>
      <w:proofErr w:type="spellEnd"/>
      <w:r w:rsidR="00682DA4">
        <w:t xml:space="preserve"> </w:t>
      </w:r>
      <w:r w:rsidRPr="00CE567A">
        <w:t>Delegat</w:t>
      </w:r>
      <w:r w:rsidR="00682DA4">
        <w:t>i</w:t>
      </w:r>
      <w:r w:rsidR="009950A3">
        <w:t>ng</w:t>
      </w:r>
      <w:r w:rsidRPr="00CE567A">
        <w:t xml:space="preserve"> topic to update the action plan and reflect on the experience</w:t>
      </w:r>
      <w:r w:rsidR="00940DEB">
        <w:t>.</w:t>
      </w:r>
    </w:p>
    <w:sectPr w:rsidR="00446AE0" w:rsidRPr="00446AE0" w:rsidSect="004A26E3">
      <w:footerReference w:type="default" r:id="rId15"/>
      <w:headerReference w:type="first" r:id="rId16"/>
      <w:footerReference w:type="first" r:id="rId17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31B" w:rsidRDefault="00CF231B" w:rsidP="007747E3">
      <w:pPr>
        <w:spacing w:after="0" w:line="240" w:lineRule="auto"/>
      </w:pPr>
      <w:r>
        <w:separator/>
      </w:r>
    </w:p>
  </w:endnote>
  <w:endnote w:type="continuationSeparator" w:id="0">
    <w:p w:rsidR="00CF231B" w:rsidRDefault="00CF231B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969" w:rsidRDefault="00034969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</w:p>
  <w:p w:rsidR="00034969" w:rsidRDefault="00034969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 w:rsidR="00377E21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 w:rsidR="00377E21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AD5AC5">
      <w:rPr>
        <w:rFonts w:ascii="Arial" w:hAnsi="Arial" w:cs="Arial"/>
        <w:b/>
        <w:noProof/>
        <w:color w:val="808080" w:themeColor="background1" w:themeShade="80"/>
        <w:sz w:val="18"/>
        <w:szCs w:val="18"/>
      </w:rPr>
      <w:t>4</w:t>
    </w:r>
    <w:r w:rsidR="00377E21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 w:rsidR="00377E21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 w:rsidR="00377E21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AD5AC5">
      <w:rPr>
        <w:rFonts w:ascii="Arial" w:hAnsi="Arial" w:cs="Arial"/>
        <w:b/>
        <w:noProof/>
        <w:color w:val="808080" w:themeColor="background1" w:themeShade="80"/>
        <w:sz w:val="18"/>
        <w:szCs w:val="18"/>
      </w:rPr>
      <w:t>4</w:t>
    </w:r>
    <w:r w:rsidR="00377E21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:rsidR="00034969" w:rsidRDefault="00034969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:rsidR="0078692A" w:rsidRPr="00034969" w:rsidRDefault="00034969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2014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FA5" w:rsidRDefault="006D5FA5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:rsidR="006D5FA5" w:rsidRDefault="006D5FA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</w:p>
  <w:p w:rsidR="006D5FA5" w:rsidRDefault="006D5FA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:rsidR="006D5FA5" w:rsidRDefault="001268C7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 w:rsidR="00377E21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 w:rsidR="00377E21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AD5AC5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 w:rsidR="00377E21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 w:rsidR="00377E21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 w:rsidR="00377E21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AD5AC5">
      <w:rPr>
        <w:rFonts w:ascii="Arial" w:hAnsi="Arial" w:cs="Arial"/>
        <w:b/>
        <w:noProof/>
        <w:color w:val="808080" w:themeColor="background1" w:themeShade="80"/>
        <w:sz w:val="18"/>
        <w:szCs w:val="18"/>
      </w:rPr>
      <w:t>3</w:t>
    </w:r>
    <w:r w:rsidR="00377E21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:rsidR="001268C7" w:rsidRDefault="001268C7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:rsidR="006D5FA5" w:rsidRPr="006D5FA5" w:rsidRDefault="006D5FA5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2014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31B" w:rsidRDefault="00CF231B" w:rsidP="007747E3">
      <w:pPr>
        <w:spacing w:after="0" w:line="240" w:lineRule="auto"/>
      </w:pPr>
      <w:r>
        <w:separator/>
      </w:r>
    </w:p>
  </w:footnote>
  <w:footnote w:type="continuationSeparator" w:id="0">
    <w:p w:rsidR="00CF231B" w:rsidRDefault="00CF231B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06" w:rsidRDefault="007351FD" w:rsidP="00B843AB">
    <w:pPr>
      <w:pStyle w:val="Header"/>
      <w:jc w:val="center"/>
    </w:pPr>
    <w:r w:rsidRPr="007351FD">
      <w:rPr>
        <w:noProof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-2295525</wp:posOffset>
          </wp:positionV>
          <wp:extent cx="7825105" cy="1943100"/>
          <wp:effectExtent l="19050" t="0" r="4445" b="0"/>
          <wp:wrapNone/>
          <wp:docPr id="3" name="Picture 0" descr="background-01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-01-01.jpg"/>
                  <pic:cNvPicPr/>
                </pic:nvPicPr>
                <pic:blipFill>
                  <a:blip r:embed="rId1" cstate="print"/>
                  <a:srcRect t="6387" b="56386"/>
                  <a:stretch>
                    <a:fillRect/>
                  </a:stretch>
                </pic:blipFill>
                <pic:spPr>
                  <a:xfrm>
                    <a:off x="0" y="0"/>
                    <a:ext cx="7825105" cy="194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4.9pt;height:14.9pt" o:bullet="t">
        <v:imagedata r:id="rId1" o:title="Word Work File L_"/>
      </v:shape>
    </w:pict>
  </w:numPicBullet>
  <w:abstractNum w:abstractNumId="0">
    <w:nsid w:val="06DF5595"/>
    <w:multiLevelType w:val="hybridMultilevel"/>
    <w:tmpl w:val="D45C7A9A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96F285E"/>
    <w:multiLevelType w:val="hybridMultilevel"/>
    <w:tmpl w:val="C46AC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F410B"/>
    <w:multiLevelType w:val="hybridMultilevel"/>
    <w:tmpl w:val="7F2C3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B86D99"/>
    <w:multiLevelType w:val="hybridMultilevel"/>
    <w:tmpl w:val="C88A0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5E06D8"/>
    <w:multiLevelType w:val="hybridMultilevel"/>
    <w:tmpl w:val="4B2C56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8">
    <w:nsid w:val="14A06BAA"/>
    <w:multiLevelType w:val="hybridMultilevel"/>
    <w:tmpl w:val="33AEF7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53E1A93"/>
    <w:multiLevelType w:val="hybridMultilevel"/>
    <w:tmpl w:val="F536995E"/>
    <w:lvl w:ilvl="0" w:tplc="277AD186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464D09"/>
    <w:multiLevelType w:val="hybridMultilevel"/>
    <w:tmpl w:val="3CEA4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4745EB"/>
    <w:multiLevelType w:val="hybridMultilevel"/>
    <w:tmpl w:val="7F3CB974"/>
    <w:lvl w:ilvl="0" w:tplc="26EC7B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FA5D63"/>
    <w:multiLevelType w:val="hybridMultilevel"/>
    <w:tmpl w:val="F1E6AA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DFB697C"/>
    <w:multiLevelType w:val="hybridMultilevel"/>
    <w:tmpl w:val="FC5016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07F640C"/>
    <w:multiLevelType w:val="hybridMultilevel"/>
    <w:tmpl w:val="D71E3968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5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8707B90"/>
    <w:multiLevelType w:val="hybridMultilevel"/>
    <w:tmpl w:val="0AFA7C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9D4774F"/>
    <w:multiLevelType w:val="hybridMultilevel"/>
    <w:tmpl w:val="A3882A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86E04E7"/>
    <w:multiLevelType w:val="hybridMultilevel"/>
    <w:tmpl w:val="05F49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3B7A06CC"/>
    <w:multiLevelType w:val="hybridMultilevel"/>
    <w:tmpl w:val="044C2C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1230FC5"/>
    <w:multiLevelType w:val="hybridMultilevel"/>
    <w:tmpl w:val="78746276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191066B"/>
    <w:multiLevelType w:val="hybridMultilevel"/>
    <w:tmpl w:val="787A3B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3525547"/>
    <w:multiLevelType w:val="hybridMultilevel"/>
    <w:tmpl w:val="8D240908"/>
    <w:lvl w:ilvl="0" w:tplc="CBC857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8D404C"/>
    <w:multiLevelType w:val="hybridMultilevel"/>
    <w:tmpl w:val="0BF296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1B14269"/>
    <w:multiLevelType w:val="hybridMultilevel"/>
    <w:tmpl w:val="DD9E9B08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9">
    <w:nsid w:val="56FD693E"/>
    <w:multiLevelType w:val="hybridMultilevel"/>
    <w:tmpl w:val="86E45F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6115A6D"/>
    <w:multiLevelType w:val="hybridMultilevel"/>
    <w:tmpl w:val="A2622872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2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6CE3615"/>
    <w:multiLevelType w:val="hybridMultilevel"/>
    <w:tmpl w:val="FD7644E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6E079D0"/>
    <w:multiLevelType w:val="hybridMultilevel"/>
    <w:tmpl w:val="57A83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DBA23C2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A200A62"/>
    <w:multiLevelType w:val="hybridMultilevel"/>
    <w:tmpl w:val="70500F64"/>
    <w:lvl w:ilvl="0" w:tplc="CA6E8112">
      <w:start w:val="1"/>
      <w:numFmt w:val="bullet"/>
      <w:pStyle w:val="HBPtablebodybullets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6">
    <w:nsid w:val="6AA20C6B"/>
    <w:multiLevelType w:val="hybridMultilevel"/>
    <w:tmpl w:val="1954E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CE7A7E"/>
    <w:multiLevelType w:val="hybridMultilevel"/>
    <w:tmpl w:val="68C82BBA"/>
    <w:lvl w:ilvl="0" w:tplc="CBC857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E69051F"/>
    <w:multiLevelType w:val="hybridMultilevel"/>
    <w:tmpl w:val="70B67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711C7A"/>
    <w:multiLevelType w:val="hybridMultilevel"/>
    <w:tmpl w:val="78CED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00C4988"/>
    <w:multiLevelType w:val="hybridMultilevel"/>
    <w:tmpl w:val="095EAA46"/>
    <w:lvl w:ilvl="0" w:tplc="26EC7B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5A3CDC"/>
    <w:multiLevelType w:val="hybridMultilevel"/>
    <w:tmpl w:val="18B41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48A13A5"/>
    <w:multiLevelType w:val="hybridMultilevel"/>
    <w:tmpl w:val="899E0D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5230327"/>
    <w:multiLevelType w:val="hybridMultilevel"/>
    <w:tmpl w:val="44222A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48240A"/>
    <w:multiLevelType w:val="hybridMultilevel"/>
    <w:tmpl w:val="25D27578"/>
    <w:lvl w:ilvl="0" w:tplc="58FE6B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5EA60A3"/>
    <w:multiLevelType w:val="multilevel"/>
    <w:tmpl w:val="201C1DD2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>
    <w:nsid w:val="7BE852E9"/>
    <w:multiLevelType w:val="hybridMultilevel"/>
    <w:tmpl w:val="CC94F916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"/>
  </w:num>
  <w:num w:numId="3">
    <w:abstractNumId w:val="15"/>
  </w:num>
  <w:num w:numId="4">
    <w:abstractNumId w:val="26"/>
  </w:num>
  <w:num w:numId="5">
    <w:abstractNumId w:val="22"/>
  </w:num>
  <w:num w:numId="6">
    <w:abstractNumId w:val="30"/>
  </w:num>
  <w:num w:numId="7">
    <w:abstractNumId w:val="34"/>
  </w:num>
  <w:num w:numId="8">
    <w:abstractNumId w:val="2"/>
  </w:num>
  <w:num w:numId="9">
    <w:abstractNumId w:val="32"/>
  </w:num>
  <w:num w:numId="10">
    <w:abstractNumId w:val="6"/>
  </w:num>
  <w:num w:numId="11">
    <w:abstractNumId w:val="16"/>
  </w:num>
  <w:num w:numId="12">
    <w:abstractNumId w:val="5"/>
  </w:num>
  <w:num w:numId="13">
    <w:abstractNumId w:val="3"/>
  </w:num>
  <w:num w:numId="14">
    <w:abstractNumId w:val="27"/>
  </w:num>
  <w:num w:numId="15">
    <w:abstractNumId w:val="10"/>
  </w:num>
  <w:num w:numId="16">
    <w:abstractNumId w:val="36"/>
  </w:num>
  <w:num w:numId="17">
    <w:abstractNumId w:val="19"/>
  </w:num>
  <w:num w:numId="18">
    <w:abstractNumId w:val="12"/>
  </w:num>
  <w:num w:numId="19">
    <w:abstractNumId w:val="4"/>
  </w:num>
  <w:num w:numId="20">
    <w:abstractNumId w:val="11"/>
  </w:num>
  <w:num w:numId="21">
    <w:abstractNumId w:val="40"/>
  </w:num>
  <w:num w:numId="22">
    <w:abstractNumId w:val="7"/>
  </w:num>
  <w:num w:numId="23">
    <w:abstractNumId w:val="43"/>
  </w:num>
  <w:num w:numId="24">
    <w:abstractNumId w:val="8"/>
  </w:num>
  <w:num w:numId="25">
    <w:abstractNumId w:val="41"/>
  </w:num>
  <w:num w:numId="26">
    <w:abstractNumId w:val="13"/>
  </w:num>
  <w:num w:numId="27">
    <w:abstractNumId w:val="24"/>
  </w:num>
  <w:num w:numId="28">
    <w:abstractNumId w:val="39"/>
  </w:num>
  <w:num w:numId="29">
    <w:abstractNumId w:val="20"/>
  </w:num>
  <w:num w:numId="30">
    <w:abstractNumId w:val="28"/>
  </w:num>
  <w:num w:numId="31">
    <w:abstractNumId w:val="46"/>
  </w:num>
  <w:num w:numId="32">
    <w:abstractNumId w:val="45"/>
  </w:num>
  <w:num w:numId="33">
    <w:abstractNumId w:val="0"/>
  </w:num>
  <w:num w:numId="34">
    <w:abstractNumId w:val="14"/>
  </w:num>
  <w:num w:numId="35">
    <w:abstractNumId w:val="31"/>
  </w:num>
  <w:num w:numId="36">
    <w:abstractNumId w:val="35"/>
  </w:num>
  <w:num w:numId="37">
    <w:abstractNumId w:val="42"/>
  </w:num>
  <w:num w:numId="38">
    <w:abstractNumId w:val="18"/>
  </w:num>
  <w:num w:numId="39">
    <w:abstractNumId w:val="17"/>
  </w:num>
  <w:num w:numId="40">
    <w:abstractNumId w:val="29"/>
  </w:num>
  <w:num w:numId="41">
    <w:abstractNumId w:val="37"/>
  </w:num>
  <w:num w:numId="42">
    <w:abstractNumId w:val="9"/>
  </w:num>
  <w:num w:numId="43">
    <w:abstractNumId w:val="38"/>
  </w:num>
  <w:num w:numId="44">
    <w:abstractNumId w:val="25"/>
  </w:num>
  <w:num w:numId="45">
    <w:abstractNumId w:val="23"/>
  </w:num>
  <w:num w:numId="46">
    <w:abstractNumId w:val="33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747E3"/>
    <w:rsid w:val="000008C9"/>
    <w:rsid w:val="00007E7D"/>
    <w:rsid w:val="000301EC"/>
    <w:rsid w:val="00031759"/>
    <w:rsid w:val="000348A9"/>
    <w:rsid w:val="00034969"/>
    <w:rsid w:val="00037DA0"/>
    <w:rsid w:val="000474E0"/>
    <w:rsid w:val="00066C48"/>
    <w:rsid w:val="00084587"/>
    <w:rsid w:val="0008776E"/>
    <w:rsid w:val="000C105B"/>
    <w:rsid w:val="000C3BE0"/>
    <w:rsid w:val="000D08AF"/>
    <w:rsid w:val="000E2145"/>
    <w:rsid w:val="00120045"/>
    <w:rsid w:val="001268C7"/>
    <w:rsid w:val="00130B60"/>
    <w:rsid w:val="001413FB"/>
    <w:rsid w:val="00176DD8"/>
    <w:rsid w:val="00195913"/>
    <w:rsid w:val="001A25C5"/>
    <w:rsid w:val="001B06AB"/>
    <w:rsid w:val="001E2AA9"/>
    <w:rsid w:val="001F091F"/>
    <w:rsid w:val="00204026"/>
    <w:rsid w:val="0023058D"/>
    <w:rsid w:val="0027586D"/>
    <w:rsid w:val="00294B32"/>
    <w:rsid w:val="002954F2"/>
    <w:rsid w:val="002A4506"/>
    <w:rsid w:val="002B265D"/>
    <w:rsid w:val="002F29C1"/>
    <w:rsid w:val="002F642B"/>
    <w:rsid w:val="003252DE"/>
    <w:rsid w:val="003521F0"/>
    <w:rsid w:val="003528A9"/>
    <w:rsid w:val="00377E21"/>
    <w:rsid w:val="003B5299"/>
    <w:rsid w:val="003B789B"/>
    <w:rsid w:val="003C7EAD"/>
    <w:rsid w:val="00446AE0"/>
    <w:rsid w:val="00482FC3"/>
    <w:rsid w:val="00485A6A"/>
    <w:rsid w:val="00486D5A"/>
    <w:rsid w:val="00497381"/>
    <w:rsid w:val="004A26E3"/>
    <w:rsid w:val="004A6C91"/>
    <w:rsid w:val="004C39C7"/>
    <w:rsid w:val="004C3B96"/>
    <w:rsid w:val="004D7EF3"/>
    <w:rsid w:val="004E4490"/>
    <w:rsid w:val="004E5CA0"/>
    <w:rsid w:val="005118DB"/>
    <w:rsid w:val="00512296"/>
    <w:rsid w:val="00517412"/>
    <w:rsid w:val="00526351"/>
    <w:rsid w:val="005403B4"/>
    <w:rsid w:val="00547A79"/>
    <w:rsid w:val="00577B03"/>
    <w:rsid w:val="00596FFB"/>
    <w:rsid w:val="005C60BE"/>
    <w:rsid w:val="00602EDE"/>
    <w:rsid w:val="006043B3"/>
    <w:rsid w:val="006400BF"/>
    <w:rsid w:val="00653698"/>
    <w:rsid w:val="00661C86"/>
    <w:rsid w:val="00666FA3"/>
    <w:rsid w:val="006678E7"/>
    <w:rsid w:val="00676423"/>
    <w:rsid w:val="00682DA4"/>
    <w:rsid w:val="0069438C"/>
    <w:rsid w:val="006A132A"/>
    <w:rsid w:val="006A265D"/>
    <w:rsid w:val="006B619B"/>
    <w:rsid w:val="006D5FA5"/>
    <w:rsid w:val="006D6650"/>
    <w:rsid w:val="006E39F2"/>
    <w:rsid w:val="006F3332"/>
    <w:rsid w:val="00712F59"/>
    <w:rsid w:val="007351FD"/>
    <w:rsid w:val="0074077E"/>
    <w:rsid w:val="00752489"/>
    <w:rsid w:val="007747E3"/>
    <w:rsid w:val="0078692A"/>
    <w:rsid w:val="007B1BF2"/>
    <w:rsid w:val="00824733"/>
    <w:rsid w:val="0083095B"/>
    <w:rsid w:val="00847B35"/>
    <w:rsid w:val="00847D6E"/>
    <w:rsid w:val="00866B05"/>
    <w:rsid w:val="008845C2"/>
    <w:rsid w:val="008A7577"/>
    <w:rsid w:val="009369BA"/>
    <w:rsid w:val="00940DEB"/>
    <w:rsid w:val="009710A2"/>
    <w:rsid w:val="00987299"/>
    <w:rsid w:val="009950A3"/>
    <w:rsid w:val="009B074C"/>
    <w:rsid w:val="009B25F5"/>
    <w:rsid w:val="009F0F71"/>
    <w:rsid w:val="009F7FC3"/>
    <w:rsid w:val="00A0202A"/>
    <w:rsid w:val="00A0722A"/>
    <w:rsid w:val="00A25613"/>
    <w:rsid w:val="00A30725"/>
    <w:rsid w:val="00A45884"/>
    <w:rsid w:val="00A54D6B"/>
    <w:rsid w:val="00A72BA0"/>
    <w:rsid w:val="00AB3CA6"/>
    <w:rsid w:val="00AD0533"/>
    <w:rsid w:val="00AD5AC5"/>
    <w:rsid w:val="00AE3FCA"/>
    <w:rsid w:val="00AF2478"/>
    <w:rsid w:val="00AF3A8D"/>
    <w:rsid w:val="00B01664"/>
    <w:rsid w:val="00B3507D"/>
    <w:rsid w:val="00B72E6A"/>
    <w:rsid w:val="00B77A8E"/>
    <w:rsid w:val="00B80111"/>
    <w:rsid w:val="00B843AB"/>
    <w:rsid w:val="00B9006B"/>
    <w:rsid w:val="00BB5354"/>
    <w:rsid w:val="00BB6FC0"/>
    <w:rsid w:val="00BC09E3"/>
    <w:rsid w:val="00BD21EE"/>
    <w:rsid w:val="00BD3328"/>
    <w:rsid w:val="00BE4F9A"/>
    <w:rsid w:val="00BE72E4"/>
    <w:rsid w:val="00BF147E"/>
    <w:rsid w:val="00BF29A9"/>
    <w:rsid w:val="00C71554"/>
    <w:rsid w:val="00C93404"/>
    <w:rsid w:val="00CB25A4"/>
    <w:rsid w:val="00CD0D32"/>
    <w:rsid w:val="00CE567A"/>
    <w:rsid w:val="00CF231B"/>
    <w:rsid w:val="00D326E1"/>
    <w:rsid w:val="00D53690"/>
    <w:rsid w:val="00D85B81"/>
    <w:rsid w:val="00DB5D40"/>
    <w:rsid w:val="00DC4BEE"/>
    <w:rsid w:val="00DF098B"/>
    <w:rsid w:val="00DF557D"/>
    <w:rsid w:val="00E10518"/>
    <w:rsid w:val="00E24B7A"/>
    <w:rsid w:val="00E2666A"/>
    <w:rsid w:val="00E266DB"/>
    <w:rsid w:val="00E62DC7"/>
    <w:rsid w:val="00E91301"/>
    <w:rsid w:val="00E9792B"/>
    <w:rsid w:val="00EA3A1B"/>
    <w:rsid w:val="00EB0AC9"/>
    <w:rsid w:val="00EB175D"/>
    <w:rsid w:val="00EC6D0A"/>
    <w:rsid w:val="00ED51B1"/>
    <w:rsid w:val="00EE2BFB"/>
    <w:rsid w:val="00EE5498"/>
    <w:rsid w:val="00F20F21"/>
    <w:rsid w:val="00F32FF1"/>
    <w:rsid w:val="00F440C3"/>
    <w:rsid w:val="00F47FBA"/>
    <w:rsid w:val="00FA61EF"/>
    <w:rsid w:val="00FB0C99"/>
    <w:rsid w:val="00FC0341"/>
    <w:rsid w:val="00FD3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D8"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25C5"/>
    <w:pPr>
      <w:numPr>
        <w:ilvl w:val="1"/>
        <w:numId w:val="7"/>
      </w:numPr>
      <w:spacing w:before="60" w:after="0" w:line="264" w:lineRule="auto"/>
      <w:ind w:left="893" w:hanging="274"/>
    </w:pPr>
    <w:rPr>
      <w:rFonts w:ascii="Arial" w:eastAsia="Times New Roman" w:hAnsi="Arial" w:cs="Times New Roman"/>
      <w:bCs/>
      <w:sz w:val="20"/>
      <w:szCs w:val="24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2F29C1"/>
    <w:pPr>
      <w:numPr>
        <w:numId w:val="42"/>
      </w:numPr>
      <w:spacing w:after="120" w:line="280" w:lineRule="exact"/>
      <w:ind w:left="540" w:right="1008" w:hanging="270"/>
    </w:pPr>
    <w:rPr>
      <w:rFonts w:ascii="Arial" w:eastAsia="Calibri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36"/>
      </w:numPr>
      <w:spacing w:before="20" w:after="20"/>
    </w:pPr>
    <w:rPr>
      <w:rFonts w:ascii="Arial" w:eastAsia="Cambria" w:hAnsi="Arial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Data" Target="diagrams/data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microsoft.com/office/2007/relationships/diagramDrawing" Target="diagrams/drawing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7D3426-150F-A545-9ADF-E27078B65ECE}" type="doc">
      <dgm:prSet loTypeId="urn:microsoft.com/office/officeart/2005/8/layout/chevron1" loCatId="" qsTypeId="urn:microsoft.com/office/officeart/2005/8/quickstyle/simple4" qsCatId="simple" csTypeId="urn:microsoft.com/office/officeart/2005/8/colors/accent1_2" csCatId="accent1" phldr="1"/>
      <dgm:spPr/>
    </dgm:pt>
    <dgm:pt modelId="{4428C2BB-34C6-4648-A53C-C58BBD75A61B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1:</a:t>
          </a:r>
          <a:r>
            <a:rPr lang="en-US"/>
            <a:t>           Self-paced, individual preparation</a:t>
          </a:r>
        </a:p>
      </dgm:t>
    </dgm:pt>
    <dgm:pt modelId="{B855E90A-2B70-7A49-B88B-6040FD478363}" type="parTrans" cxnId="{100FCC18-9BE8-B043-8DE3-939CAEB00FA1}">
      <dgm:prSet/>
      <dgm:spPr/>
      <dgm:t>
        <a:bodyPr/>
        <a:lstStyle/>
        <a:p>
          <a:endParaRPr lang="en-US"/>
        </a:p>
      </dgm:t>
    </dgm:pt>
    <dgm:pt modelId="{C106AE9F-7AE6-0D41-9DDF-5FC0D70F5AEA}" type="sibTrans" cxnId="{100FCC18-9BE8-B043-8DE3-939CAEB00FA1}">
      <dgm:prSet/>
      <dgm:spPr/>
      <dgm:t>
        <a:bodyPr/>
        <a:lstStyle/>
        <a:p>
          <a:endParaRPr lang="en-US"/>
        </a:p>
      </dgm:t>
    </dgm:pt>
    <dgm:pt modelId="{6C1F603D-38DB-9A47-8AB9-0D44AB4D83F5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2:</a:t>
          </a:r>
          <a:r>
            <a:rPr lang="en-US"/>
            <a:t>           Live, group-based Café session</a:t>
          </a:r>
        </a:p>
      </dgm:t>
    </dgm:pt>
    <dgm:pt modelId="{F0555417-53F2-CE47-8865-158FB35037B6}" type="parTrans" cxnId="{778A0C5E-8F39-BB45-8B88-0C8AE4F3650B}">
      <dgm:prSet/>
      <dgm:spPr/>
      <dgm:t>
        <a:bodyPr/>
        <a:lstStyle/>
        <a:p>
          <a:endParaRPr lang="en-US"/>
        </a:p>
      </dgm:t>
    </dgm:pt>
    <dgm:pt modelId="{2939D593-3918-E543-8D72-7E5948FD0CAC}" type="sibTrans" cxnId="{778A0C5E-8F39-BB45-8B88-0C8AE4F3650B}">
      <dgm:prSet/>
      <dgm:spPr/>
      <dgm:t>
        <a:bodyPr/>
        <a:lstStyle/>
        <a:p>
          <a:endParaRPr lang="en-US"/>
        </a:p>
      </dgm:t>
    </dgm:pt>
    <dgm:pt modelId="{5597D904-7967-1649-8719-760C983493FD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3:           </a:t>
          </a:r>
          <a:r>
            <a:rPr lang="en-US"/>
            <a:t>Self-paced, individual application</a:t>
          </a:r>
        </a:p>
      </dgm:t>
    </dgm:pt>
    <dgm:pt modelId="{01682DA7-0EC8-A448-9758-83644F3485E6}" type="parTrans" cxnId="{F723AA2B-9344-FC4A-A3FE-8FAFAE110D04}">
      <dgm:prSet/>
      <dgm:spPr/>
      <dgm:t>
        <a:bodyPr/>
        <a:lstStyle/>
        <a:p>
          <a:endParaRPr lang="en-US"/>
        </a:p>
      </dgm:t>
    </dgm:pt>
    <dgm:pt modelId="{93BDCCF4-88A7-4742-9C60-8B4D0C330E81}" type="sibTrans" cxnId="{F723AA2B-9344-FC4A-A3FE-8FAFAE110D04}">
      <dgm:prSet/>
      <dgm:spPr/>
      <dgm:t>
        <a:bodyPr/>
        <a:lstStyle/>
        <a:p>
          <a:endParaRPr lang="en-US"/>
        </a:p>
      </dgm:t>
    </dgm:pt>
    <dgm:pt modelId="{CE242C84-1F0B-3747-A7BA-80B9EB14ACB4}" type="pres">
      <dgm:prSet presAssocID="{2D7D3426-150F-A545-9ADF-E27078B65ECE}" presName="Name0" presStyleCnt="0">
        <dgm:presLayoutVars>
          <dgm:dir/>
          <dgm:animLvl val="lvl"/>
          <dgm:resizeHandles val="exact"/>
        </dgm:presLayoutVars>
      </dgm:prSet>
      <dgm:spPr/>
    </dgm:pt>
    <dgm:pt modelId="{CE10A6AF-0EE1-EF4C-BB55-234B5C18E3AB}" type="pres">
      <dgm:prSet presAssocID="{4428C2BB-34C6-4648-A53C-C58BBD75A61B}" presName="parTxOnly" presStyleLbl="node1" presStyleIdx="0" presStyleCnt="3" custLinFactNeighborX="5350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BAFEC7-13D8-B04A-8CD4-0E182F4CAC4A}" type="pres">
      <dgm:prSet presAssocID="{C106AE9F-7AE6-0D41-9DDF-5FC0D70F5AEA}" presName="parTxOnlySpace" presStyleCnt="0"/>
      <dgm:spPr/>
    </dgm:pt>
    <dgm:pt modelId="{E98ACE24-CB79-5542-9D1C-938FF8AC975A}" type="pres">
      <dgm:prSet presAssocID="{6C1F603D-38DB-9A47-8AB9-0D44AB4D83F5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772EF6-5541-334E-BB73-A7BF3ED6F8F1}" type="pres">
      <dgm:prSet presAssocID="{2939D593-3918-E543-8D72-7E5948FD0CAC}" presName="parTxOnlySpace" presStyleCnt="0"/>
      <dgm:spPr/>
    </dgm:pt>
    <dgm:pt modelId="{D203DAEF-C683-F941-8D68-9834910DD8D5}" type="pres">
      <dgm:prSet presAssocID="{5597D904-7967-1649-8719-760C983493FD}" presName="parTxOnly" presStyleLbl="node1" presStyleIdx="2" presStyleCnt="3" custLinFactNeighborX="-3891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78A0C5E-8F39-BB45-8B88-0C8AE4F3650B}" srcId="{2D7D3426-150F-A545-9ADF-E27078B65ECE}" destId="{6C1F603D-38DB-9A47-8AB9-0D44AB4D83F5}" srcOrd="1" destOrd="0" parTransId="{F0555417-53F2-CE47-8865-158FB35037B6}" sibTransId="{2939D593-3918-E543-8D72-7E5948FD0CAC}"/>
    <dgm:cxn modelId="{F723AA2B-9344-FC4A-A3FE-8FAFAE110D04}" srcId="{2D7D3426-150F-A545-9ADF-E27078B65ECE}" destId="{5597D904-7967-1649-8719-760C983493FD}" srcOrd="2" destOrd="0" parTransId="{01682DA7-0EC8-A448-9758-83644F3485E6}" sibTransId="{93BDCCF4-88A7-4742-9C60-8B4D0C330E81}"/>
    <dgm:cxn modelId="{100FCC18-9BE8-B043-8DE3-939CAEB00FA1}" srcId="{2D7D3426-150F-A545-9ADF-E27078B65ECE}" destId="{4428C2BB-34C6-4648-A53C-C58BBD75A61B}" srcOrd="0" destOrd="0" parTransId="{B855E90A-2B70-7A49-B88B-6040FD478363}" sibTransId="{C106AE9F-7AE6-0D41-9DDF-5FC0D70F5AEA}"/>
    <dgm:cxn modelId="{8EF9B9BD-CD87-491D-8D02-6F146007C4F3}" type="presOf" srcId="{4428C2BB-34C6-4648-A53C-C58BBD75A61B}" destId="{CE10A6AF-0EE1-EF4C-BB55-234B5C18E3AB}" srcOrd="0" destOrd="0" presId="urn:microsoft.com/office/officeart/2005/8/layout/chevron1"/>
    <dgm:cxn modelId="{97E9DDBA-26D7-4C36-83E9-4D2BD2729105}" type="presOf" srcId="{2D7D3426-150F-A545-9ADF-E27078B65ECE}" destId="{CE242C84-1F0B-3747-A7BA-80B9EB14ACB4}" srcOrd="0" destOrd="0" presId="urn:microsoft.com/office/officeart/2005/8/layout/chevron1"/>
    <dgm:cxn modelId="{B12C293E-AD75-4861-845B-23A811D83BEC}" type="presOf" srcId="{6C1F603D-38DB-9A47-8AB9-0D44AB4D83F5}" destId="{E98ACE24-CB79-5542-9D1C-938FF8AC975A}" srcOrd="0" destOrd="0" presId="urn:microsoft.com/office/officeart/2005/8/layout/chevron1"/>
    <dgm:cxn modelId="{6B5E2672-92C3-43F3-892E-19D235D28F85}" type="presOf" srcId="{5597D904-7967-1649-8719-760C983493FD}" destId="{D203DAEF-C683-F941-8D68-9834910DD8D5}" srcOrd="0" destOrd="0" presId="urn:microsoft.com/office/officeart/2005/8/layout/chevron1"/>
    <dgm:cxn modelId="{58A2A32E-D648-4757-9A2C-DBDEB25CD4A7}" type="presParOf" srcId="{CE242C84-1F0B-3747-A7BA-80B9EB14ACB4}" destId="{CE10A6AF-0EE1-EF4C-BB55-234B5C18E3AB}" srcOrd="0" destOrd="0" presId="urn:microsoft.com/office/officeart/2005/8/layout/chevron1"/>
    <dgm:cxn modelId="{AB14B6A6-4B09-40DA-9578-F5F179A190F8}" type="presParOf" srcId="{CE242C84-1F0B-3747-A7BA-80B9EB14ACB4}" destId="{7BBAFEC7-13D8-B04A-8CD4-0E182F4CAC4A}" srcOrd="1" destOrd="0" presId="urn:microsoft.com/office/officeart/2005/8/layout/chevron1"/>
    <dgm:cxn modelId="{8542A527-37F1-4F2E-A913-BE13F8D9F630}" type="presParOf" srcId="{CE242C84-1F0B-3747-A7BA-80B9EB14ACB4}" destId="{E98ACE24-CB79-5542-9D1C-938FF8AC975A}" srcOrd="2" destOrd="0" presId="urn:microsoft.com/office/officeart/2005/8/layout/chevron1"/>
    <dgm:cxn modelId="{7E6BE118-DDFA-40E8-8B63-B1A40C65D0E6}" type="presParOf" srcId="{CE242C84-1F0B-3747-A7BA-80B9EB14ACB4}" destId="{4A772EF6-5541-334E-BB73-A7BF3ED6F8F1}" srcOrd="3" destOrd="0" presId="urn:microsoft.com/office/officeart/2005/8/layout/chevron1"/>
    <dgm:cxn modelId="{F2F223D5-5323-4E9A-82F0-FAFA7FCA6201}" type="presParOf" srcId="{CE242C84-1F0B-3747-A7BA-80B9EB14ACB4}" destId="{D203DAEF-C683-F941-8D68-9834910DD8D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0A6AF-0EE1-EF4C-BB55-234B5C18E3AB}">
      <dsp:nvSpPr>
        <dsp:cNvPr id="0" name=""/>
        <dsp:cNvSpPr/>
      </dsp:nvSpPr>
      <dsp:spPr>
        <a:xfrm>
          <a:off x="106383" y="23527"/>
          <a:ext cx="1958280" cy="783312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1:</a:t>
          </a:r>
          <a:r>
            <a:rPr lang="en-US" sz="1300" kern="1200"/>
            <a:t>           Self-paced, individual preparation</a:t>
          </a:r>
        </a:p>
      </dsp:txBody>
      <dsp:txXfrm>
        <a:off x="498039" y="23527"/>
        <a:ext cx="1174968" cy="783312"/>
      </dsp:txXfrm>
    </dsp:sp>
    <dsp:sp modelId="{E98ACE24-CB79-5542-9D1C-938FF8AC975A}">
      <dsp:nvSpPr>
        <dsp:cNvPr id="0" name=""/>
        <dsp:cNvSpPr/>
      </dsp:nvSpPr>
      <dsp:spPr>
        <a:xfrm>
          <a:off x="1764059" y="23527"/>
          <a:ext cx="1958280" cy="783312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2:</a:t>
          </a:r>
          <a:r>
            <a:rPr lang="en-US" sz="1300" kern="1200"/>
            <a:t>           Live, group-based Café session</a:t>
          </a:r>
        </a:p>
      </dsp:txBody>
      <dsp:txXfrm>
        <a:off x="2155715" y="23527"/>
        <a:ext cx="1174968" cy="783312"/>
      </dsp:txXfrm>
    </dsp:sp>
    <dsp:sp modelId="{D203DAEF-C683-F941-8D68-9834910DD8D5}">
      <dsp:nvSpPr>
        <dsp:cNvPr id="0" name=""/>
        <dsp:cNvSpPr/>
      </dsp:nvSpPr>
      <dsp:spPr>
        <a:xfrm>
          <a:off x="3450311" y="23527"/>
          <a:ext cx="1958280" cy="783312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3:           </a:t>
          </a:r>
          <a:r>
            <a:rPr lang="en-US" sz="1300" kern="1200"/>
            <a:t>Self-paced, individual application</a:t>
          </a:r>
        </a:p>
      </dsp:txBody>
      <dsp:txXfrm>
        <a:off x="3841967" y="23527"/>
        <a:ext cx="1174968" cy="78331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F8EE0-83C8-4233-971C-7F6CC48C8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jfrenkle</dc:creator>
  <cp:lastModifiedBy>Lily</cp:lastModifiedBy>
  <cp:revision>15</cp:revision>
  <cp:lastPrinted>2014-07-28T15:36:00Z</cp:lastPrinted>
  <dcterms:created xsi:type="dcterms:W3CDTF">2014-08-04T17:03:00Z</dcterms:created>
  <dcterms:modified xsi:type="dcterms:W3CDTF">2014-08-13T21:10:00Z</dcterms:modified>
</cp:coreProperties>
</file>