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5DAE" w14:textId="78602DBB" w:rsidR="009B078C" w:rsidRDefault="00C57446" w:rsidP="009B078C">
      <w:pPr>
        <w:pStyle w:val="Invitenote"/>
        <w:rPr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2BE0C60A">
            <wp:simplePos x="0" y="0"/>
            <wp:positionH relativeFrom="column">
              <wp:posOffset>-922223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51DAB9E9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0544D8CC" w:rsidR="002D5E28" w:rsidRPr="002954F2" w:rsidRDefault="002D5E28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Performance Appraisal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15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" filled="f" stroked="f">
                <v:textbox>
                  <w:txbxContent>
                    <w:p w14:paraId="02EF89D7" w14:textId="0544D8CC" w:rsidR="009960D8" w:rsidRPr="002954F2" w:rsidRDefault="003D5656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Performance Appraisal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3D5656">
        <w:rPr>
          <w:noProof/>
        </w:rPr>
        <w:t>Performance Appraisal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and the Café you plan to offer.</w:t>
      </w:r>
    </w:p>
    <w:p w14:paraId="39C390F1" w14:textId="6DF2303B" w:rsidR="00603A02" w:rsidRPr="006A129C" w:rsidRDefault="00176DD8" w:rsidP="006A129C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E573E4">
        <w:rPr>
          <w:rFonts w:eastAsia="Times New Roman"/>
          <w:color w:val="A41E35"/>
          <w:sz w:val="28"/>
          <w:lang w:bidi="en-US"/>
        </w:rPr>
        <w:t>Performance Appraisal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319A0C6F" w14:textId="5CE188A6" w:rsidR="001C1DB3" w:rsidRPr="001C1DB3" w:rsidRDefault="001C1DB3" w:rsidP="001C1DB3">
      <w:pPr>
        <w:pStyle w:val="introtext"/>
      </w:pPr>
      <w:r w:rsidRPr="001C1DB3">
        <w:t xml:space="preserve">As a manager, one of your most important duties is to </w:t>
      </w:r>
      <w:r w:rsidR="002D5E28">
        <w:t>evaluate</w:t>
      </w:r>
      <w:r w:rsidR="002D5E28" w:rsidRPr="001C1DB3">
        <w:t xml:space="preserve"> </w:t>
      </w:r>
      <w:r w:rsidRPr="001C1DB3">
        <w:t>your employees’ performance</w:t>
      </w:r>
      <w:r w:rsidR="002D5E28">
        <w:t>. Ho</w:t>
      </w:r>
      <w:r w:rsidRPr="001C1DB3">
        <w:t xml:space="preserve">wever, it’s no secret that many employees and managers dread performance appraisals.  The good news is that by approaching the review process as a partnership with your direct reports, you can develop an approach to appraisal and improvement that reduces the anxiety while improving the outcomes for all. </w:t>
      </w:r>
    </w:p>
    <w:p w14:paraId="2EC0BFA8" w14:textId="4FAD2899" w:rsidR="00D726B3" w:rsidRPr="00E806EF" w:rsidRDefault="001C1DB3" w:rsidP="00D726B3">
      <w:pPr>
        <w:pStyle w:val="introtext"/>
      </w:pPr>
      <w:r>
        <w:t>To improve your effectiveness throughout the performance appraisal process</w:t>
      </w:r>
      <w:r w:rsidR="00321907">
        <w:t>,</w:t>
      </w:r>
      <w:r w:rsidR="009B078C" w:rsidRPr="00A87EC7">
        <w:t xml:space="preserve"> join us for a </w:t>
      </w:r>
      <w:r>
        <w:t>Performance Appraisal</w:t>
      </w:r>
      <w:r w:rsidR="0013370C" w:rsidRPr="00A87EC7">
        <w:t xml:space="preserve"> </w:t>
      </w:r>
      <w:r w:rsidR="009B078C" w:rsidRPr="00A87EC7">
        <w:t>Café session, a learning opportunity sponsored by [sponsor]</w:t>
      </w:r>
      <w:r w:rsidR="00672F4B" w:rsidRPr="00A87EC7">
        <w:t xml:space="preserve"> </w:t>
      </w:r>
      <w:r w:rsidR="009B078C" w:rsidRPr="00A87EC7">
        <w:t>and based on material from Harvard ManageMentor.</w:t>
      </w:r>
      <w:r w:rsidR="0013370C" w:rsidRPr="00A87EC7">
        <w:t xml:space="preserve"> The </w:t>
      </w:r>
      <w:r w:rsidR="009B078C" w:rsidRPr="00A87EC7">
        <w:t xml:space="preserve">Café will be led by [facilitator name and job title]. This hour-long session is scheduled for [date, time, web conference information or location]. The Café will </w:t>
      </w:r>
      <w:r w:rsidR="00D726B3">
        <w:t>help you</w:t>
      </w:r>
      <w:r w:rsidR="00ED00A1" w:rsidRPr="00A87EC7">
        <w:t xml:space="preserve"> </w:t>
      </w:r>
      <w:r w:rsidR="00D726B3">
        <w:t>to i</w:t>
      </w:r>
      <w:r w:rsidR="00D726B3" w:rsidRPr="00160694">
        <w:rPr>
          <w:rFonts w:eastAsia="Calibri"/>
        </w:rPr>
        <w:t xml:space="preserve">dentify and </w:t>
      </w:r>
      <w:r w:rsidR="00D726B3">
        <w:rPr>
          <w:rFonts w:eastAsia="Calibri"/>
        </w:rPr>
        <w:t>apply</w:t>
      </w:r>
      <w:r w:rsidR="00D726B3" w:rsidRPr="00160694">
        <w:rPr>
          <w:rFonts w:eastAsia="Calibri"/>
        </w:rPr>
        <w:t xml:space="preserve"> performance appraisal </w:t>
      </w:r>
      <w:r w:rsidR="00D726B3">
        <w:rPr>
          <w:rFonts w:eastAsia="Calibri"/>
        </w:rPr>
        <w:t>best practices, e</w:t>
      </w:r>
      <w:r w:rsidR="00D726B3" w:rsidRPr="00160694">
        <w:rPr>
          <w:rFonts w:eastAsia="Calibri"/>
        </w:rPr>
        <w:t>valuate and</w:t>
      </w:r>
      <w:r w:rsidR="00D726B3">
        <w:rPr>
          <w:rFonts w:eastAsia="Calibri"/>
        </w:rPr>
        <w:t xml:space="preserve"> discuss performance objectively, and orient the </w:t>
      </w:r>
      <w:r w:rsidR="00D726B3" w:rsidRPr="00160694">
        <w:rPr>
          <w:rFonts w:eastAsia="Calibri"/>
        </w:rPr>
        <w:t xml:space="preserve">feedback </w:t>
      </w:r>
      <w:r w:rsidR="00D726B3">
        <w:rPr>
          <w:rFonts w:eastAsia="Calibri"/>
        </w:rPr>
        <w:t xml:space="preserve">you provide to your direct reports toward </w:t>
      </w:r>
      <w:r w:rsidR="00D726B3" w:rsidRPr="00160694">
        <w:rPr>
          <w:rFonts w:eastAsia="Calibri"/>
        </w:rPr>
        <w:t>action</w:t>
      </w:r>
      <w:r w:rsidR="00D726B3">
        <w:rPr>
          <w:rFonts w:eastAsia="Calibri"/>
        </w:rPr>
        <w:t>.</w:t>
      </w:r>
    </w:p>
    <w:p w14:paraId="6E11B449" w14:textId="28F6A430" w:rsidR="00596FFB" w:rsidRPr="00A87EC7" w:rsidRDefault="009B078C" w:rsidP="00A87EC7">
      <w:pPr>
        <w:pStyle w:val="introtext"/>
      </w:pPr>
      <w:r w:rsidRPr="00A87EC7">
        <w:t xml:space="preserve">Before attending the Café, please complete the following </w:t>
      </w:r>
      <w:r w:rsidR="0065781D">
        <w:t xml:space="preserve">four </w:t>
      </w:r>
      <w:r w:rsidRPr="00A87EC7">
        <w:t xml:space="preserve">lessons and the </w:t>
      </w:r>
      <w:r w:rsidR="00E573E4">
        <w:t>online assessment</w:t>
      </w:r>
      <w:r w:rsidRPr="00A87EC7">
        <w:t xml:space="preserve"> in the Harvard ManageMentor </w:t>
      </w:r>
      <w:r w:rsidR="00D726B3">
        <w:t>Performance Appraisal</w:t>
      </w:r>
      <w:r w:rsidRPr="00A87EC7">
        <w:t xml:space="preserve"> topic [LINK to Harvard ManageMentor </w:t>
      </w:r>
      <w:r w:rsidR="00D726B3">
        <w:t>Performance Appraisal</w:t>
      </w:r>
      <w:r w:rsidR="00D726B3" w:rsidRPr="00A87EC7">
        <w:t xml:space="preserve"> </w:t>
      </w:r>
      <w:r w:rsidRPr="00A87EC7">
        <w:t>topic]:</w:t>
      </w:r>
    </w:p>
    <w:p w14:paraId="40E8D46A" w14:textId="77777777" w:rsidR="0065781D" w:rsidRPr="00AD5776" w:rsidRDefault="0065781D" w:rsidP="0065781D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AD5776">
        <w:rPr>
          <w:rFonts w:ascii="Arial" w:hAnsi="Arial" w:cs="Arial"/>
          <w:color w:val="000000" w:themeColor="text1"/>
        </w:rPr>
        <w:t>Why Conduct Performance Appraisals?</w:t>
      </w:r>
    </w:p>
    <w:p w14:paraId="326C258C" w14:textId="77777777" w:rsidR="0065781D" w:rsidRPr="00AD5776" w:rsidRDefault="0065781D" w:rsidP="0065781D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AD5776">
        <w:rPr>
          <w:rFonts w:ascii="Arial" w:hAnsi="Arial" w:cs="Arial"/>
          <w:color w:val="000000" w:themeColor="text1"/>
        </w:rPr>
        <w:t>Prepare for a Performance Appraisal Meeting</w:t>
      </w:r>
    </w:p>
    <w:p w14:paraId="159CB979" w14:textId="77777777" w:rsidR="0065781D" w:rsidRPr="00AD5776" w:rsidRDefault="0065781D" w:rsidP="0065781D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AD5776">
        <w:rPr>
          <w:rFonts w:ascii="Arial" w:hAnsi="Arial" w:cs="Arial"/>
          <w:color w:val="000000" w:themeColor="text1"/>
        </w:rPr>
        <w:t>Conduct a Performance Appraisal Meeting</w:t>
      </w:r>
    </w:p>
    <w:p w14:paraId="7EB9C05A" w14:textId="054CBA93" w:rsidR="0065781D" w:rsidRPr="00AD5776" w:rsidRDefault="0065781D" w:rsidP="0065781D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AD5776">
        <w:rPr>
          <w:rFonts w:ascii="Arial" w:hAnsi="Arial" w:cs="Arial"/>
          <w:color w:val="000000" w:themeColor="text1"/>
        </w:rPr>
        <w:t>Monitor an Employee’s Progress</w:t>
      </w:r>
    </w:p>
    <w:p w14:paraId="1AC0BE9D" w14:textId="35DDF6B4" w:rsidR="00DF5C06" w:rsidRDefault="00DF5C06" w:rsidP="00C57446">
      <w:pPr>
        <w:pStyle w:val="introtext"/>
        <w:rPr>
          <w:lang w:bidi="en-US"/>
        </w:rPr>
      </w:pPr>
      <w:r>
        <w:rPr>
          <w:lang w:bidi="en-US"/>
        </w:rPr>
        <w:t xml:space="preserve">In addition, please complete and </w:t>
      </w:r>
      <w:r w:rsidR="007B0C0F">
        <w:rPr>
          <w:lang w:bidi="en-US"/>
        </w:rPr>
        <w:t>have available</w:t>
      </w:r>
      <w:r>
        <w:rPr>
          <w:lang w:bidi="en-US"/>
        </w:rPr>
        <w:t xml:space="preserve"> the following:</w:t>
      </w:r>
    </w:p>
    <w:p w14:paraId="3D90C34B" w14:textId="53442A9C" w:rsidR="00670B23" w:rsidRPr="00670B23" w:rsidRDefault="00F24CDF" w:rsidP="00D07281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/>
        <w:ind w:left="720" w:hanging="259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Complete the tool </w:t>
      </w:r>
      <w:r w:rsidR="00670B23" w:rsidRPr="00670B23">
        <w:rPr>
          <w:rFonts w:ascii="Arial" w:hAnsi="Arial" w:cs="Arial"/>
        </w:rPr>
        <w:t>“Worksheet for Preparing Performance Appraisal Feedback” in the “Prepare for a Performance Appraisal Meeting” lesson of the Harvard ManageMentor Performance Appraisal topic</w:t>
      </w:r>
      <w:r w:rsidR="00E573E4">
        <w:rPr>
          <w:rFonts w:ascii="Arial" w:hAnsi="Arial" w:cs="Arial"/>
        </w:rPr>
        <w:t>.</w:t>
      </w:r>
    </w:p>
    <w:p w14:paraId="360A2896" w14:textId="68591977" w:rsidR="00670B23" w:rsidRPr="00670B23" w:rsidRDefault="00670B23" w:rsidP="00D07281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/>
        <w:ind w:left="720" w:hanging="259"/>
        <w:textAlignment w:val="baseline"/>
        <w:rPr>
          <w:rFonts w:ascii="Arial" w:hAnsi="Arial" w:cs="Arial"/>
        </w:rPr>
      </w:pPr>
      <w:r w:rsidRPr="00670B23">
        <w:rPr>
          <w:rFonts w:ascii="Arial" w:hAnsi="Arial" w:cs="Arial"/>
        </w:rPr>
        <w:t>Co</w:t>
      </w:r>
      <w:r w:rsidR="00F24CDF">
        <w:rPr>
          <w:rFonts w:ascii="Arial" w:hAnsi="Arial" w:cs="Arial"/>
        </w:rPr>
        <w:t xml:space="preserve">mplete the practice assessment </w:t>
      </w:r>
      <w:r w:rsidRPr="00670B23">
        <w:rPr>
          <w:rFonts w:ascii="Arial" w:hAnsi="Arial" w:cs="Arial"/>
        </w:rPr>
        <w:t xml:space="preserve">“How </w:t>
      </w:r>
      <w:r w:rsidR="003957F5">
        <w:rPr>
          <w:rFonts w:ascii="Arial" w:hAnsi="Arial" w:cs="Arial"/>
        </w:rPr>
        <w:t>W</w:t>
      </w:r>
      <w:r w:rsidRPr="00670B23">
        <w:rPr>
          <w:rFonts w:ascii="Arial" w:hAnsi="Arial" w:cs="Arial"/>
        </w:rPr>
        <w:t xml:space="preserve">ell </w:t>
      </w:r>
      <w:r w:rsidR="003957F5">
        <w:rPr>
          <w:rFonts w:ascii="Arial" w:hAnsi="Arial" w:cs="Arial"/>
        </w:rPr>
        <w:t>D</w:t>
      </w:r>
      <w:r w:rsidRPr="00670B23">
        <w:rPr>
          <w:rFonts w:ascii="Arial" w:hAnsi="Arial" w:cs="Arial"/>
        </w:rPr>
        <w:t xml:space="preserve">o </w:t>
      </w:r>
      <w:r w:rsidR="003957F5">
        <w:rPr>
          <w:rFonts w:ascii="Arial" w:hAnsi="Arial" w:cs="Arial"/>
        </w:rPr>
        <w:t>Y</w:t>
      </w:r>
      <w:r w:rsidRPr="00670B23">
        <w:rPr>
          <w:rFonts w:ascii="Arial" w:hAnsi="Arial" w:cs="Arial"/>
        </w:rPr>
        <w:t xml:space="preserve">ou </w:t>
      </w:r>
      <w:r w:rsidR="003957F5">
        <w:rPr>
          <w:rFonts w:ascii="Arial" w:hAnsi="Arial" w:cs="Arial"/>
        </w:rPr>
        <w:t>C</w:t>
      </w:r>
      <w:r w:rsidRPr="00670B23">
        <w:rPr>
          <w:rFonts w:ascii="Arial" w:hAnsi="Arial" w:cs="Arial"/>
        </w:rPr>
        <w:t xml:space="preserve">onduct </w:t>
      </w:r>
      <w:r w:rsidR="003957F5">
        <w:rPr>
          <w:rFonts w:ascii="Arial" w:hAnsi="Arial" w:cs="Arial"/>
        </w:rPr>
        <w:t>A</w:t>
      </w:r>
      <w:r w:rsidRPr="00670B23">
        <w:rPr>
          <w:rFonts w:ascii="Arial" w:hAnsi="Arial" w:cs="Arial"/>
        </w:rPr>
        <w:t>ppraisals?” in the “Conduct a Performance Appraisal Meeting” lesson of the Harvard ManageMentor Performance Appraisal topic.</w:t>
      </w:r>
    </w:p>
    <w:p w14:paraId="121805EA" w14:textId="1DB9B679" w:rsidR="0013370C" w:rsidRPr="00C57446" w:rsidRDefault="009B078C" w:rsidP="00C57446">
      <w:pPr>
        <w:pStyle w:val="introtext"/>
      </w:pPr>
      <w:r w:rsidRPr="00C57446">
        <w:t xml:space="preserve">Please feel free to contact [sponsor] if you have any questions about the pre-work assignment or the Café session. </w:t>
      </w:r>
    </w:p>
    <w:p w14:paraId="28BE6E25" w14:textId="77777777" w:rsidR="007D7027" w:rsidRDefault="009B078C" w:rsidP="00C57446">
      <w:pPr>
        <w:pStyle w:val="introtext"/>
      </w:pPr>
      <w:r w:rsidRPr="009212E7">
        <w:t xml:space="preserve">Thank you. We hope to see you on </w:t>
      </w:r>
      <w:r w:rsidRPr="0013370C">
        <w:t>[</w:t>
      </w:r>
      <w:r w:rsidRPr="00672F4B">
        <w:t>DATE</w:t>
      </w:r>
      <w:r w:rsidRPr="0013370C">
        <w:t>],</w:t>
      </w:r>
      <w:r w:rsidR="0013370C" w:rsidRPr="0013370C">
        <w:t xml:space="preserve"> </w:t>
      </w:r>
    </w:p>
    <w:p w14:paraId="3EA79449" w14:textId="2C945C7B" w:rsidR="00176DD8" w:rsidRPr="0013370C" w:rsidRDefault="009B078C" w:rsidP="00C57446">
      <w:pPr>
        <w:pStyle w:val="introtext"/>
      </w:pPr>
      <w:r w:rsidRPr="0013370C">
        <w:t>[NAME OF PERSON OR GROUP SENDING THE EMAIL]</w:t>
      </w:r>
    </w:p>
    <w:sectPr w:rsidR="00176DD8" w:rsidRPr="0013370C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CAA85" w14:textId="77777777" w:rsidR="00FD719F" w:rsidRDefault="00FD719F" w:rsidP="007747E3">
      <w:pPr>
        <w:spacing w:after="0" w:line="240" w:lineRule="auto"/>
      </w:pPr>
      <w:r>
        <w:separator/>
      </w:r>
    </w:p>
  </w:endnote>
  <w:endnote w:type="continuationSeparator" w:id="0">
    <w:p w14:paraId="18F978EE" w14:textId="77777777" w:rsidR="00FD719F" w:rsidRDefault="00FD719F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6124" w14:textId="77777777" w:rsidR="002D5E28" w:rsidRDefault="002D5E2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2D5E28" w:rsidRDefault="002D5E2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F6E7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F6E7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2D5E28" w:rsidRDefault="002D5E2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459186BE" w:rsidR="002D5E28" w:rsidRPr="00034969" w:rsidRDefault="002D5E2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8872" w14:textId="77777777" w:rsidR="002D5E28" w:rsidRDefault="002D5E2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2D5E28" w:rsidRDefault="002D5E2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2D5E28" w:rsidRDefault="002D5E2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2D5E28" w:rsidRDefault="002D5E2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F6E7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F6E7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2D5E28" w:rsidRDefault="002D5E2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3D87346F" w:rsidR="002D5E28" w:rsidRPr="006D5FA5" w:rsidRDefault="002D5E2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061C9" w14:textId="77777777" w:rsidR="00FD719F" w:rsidRDefault="00FD719F" w:rsidP="007747E3">
      <w:pPr>
        <w:spacing w:after="0" w:line="240" w:lineRule="auto"/>
      </w:pPr>
      <w:r>
        <w:separator/>
      </w:r>
    </w:p>
  </w:footnote>
  <w:footnote w:type="continuationSeparator" w:id="0">
    <w:p w14:paraId="171A0990" w14:textId="77777777" w:rsidR="00FD719F" w:rsidRDefault="00FD719F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13C5F" w14:textId="352D34DA" w:rsidR="002D5E28" w:rsidRDefault="002D5E28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22516896" wp14:editId="17E4D90D">
          <wp:simplePos x="0" y="0"/>
          <wp:positionH relativeFrom="column">
            <wp:posOffset>-924128</wp:posOffset>
          </wp:positionH>
          <wp:positionV relativeFrom="paragraph">
            <wp:posOffset>-2286000</wp:posOffset>
          </wp:positionV>
          <wp:extent cx="7781884" cy="1955165"/>
          <wp:effectExtent l="0" t="0" r="0" b="635"/>
          <wp:wrapNone/>
          <wp:docPr id="4" name="Picture 4" descr="/Users/emily.audley/Box Sync/Personal Files/HMM v12/Documentation/Cafes/Images/PerformanceAppraisal_Topic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emily.audley/Box Sync/Personal Files/HMM v12/Documentation/Cafes/Images/PerformanceAppraisal_TopicImage2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55" r="1"/>
                  <a:stretch/>
                </pic:blipFill>
                <pic:spPr bwMode="auto">
                  <a:xfrm>
                    <a:off x="0" y="0"/>
                    <a:ext cx="7781884" cy="19551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97A04C0"/>
    <w:multiLevelType w:val="hybridMultilevel"/>
    <w:tmpl w:val="EFE836C0"/>
    <w:lvl w:ilvl="0" w:tplc="13EA3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31759"/>
    <w:rsid w:val="000348A9"/>
    <w:rsid w:val="00034969"/>
    <w:rsid w:val="000474E0"/>
    <w:rsid w:val="00066C48"/>
    <w:rsid w:val="0008173D"/>
    <w:rsid w:val="00084587"/>
    <w:rsid w:val="0008776E"/>
    <w:rsid w:val="00091CF1"/>
    <w:rsid w:val="00095829"/>
    <w:rsid w:val="000C105B"/>
    <w:rsid w:val="000D08AF"/>
    <w:rsid w:val="000E2145"/>
    <w:rsid w:val="000E6D3E"/>
    <w:rsid w:val="001100FF"/>
    <w:rsid w:val="00120045"/>
    <w:rsid w:val="0012520F"/>
    <w:rsid w:val="001268C7"/>
    <w:rsid w:val="00130B60"/>
    <w:rsid w:val="0013370C"/>
    <w:rsid w:val="001413FB"/>
    <w:rsid w:val="00155FD1"/>
    <w:rsid w:val="00176DD8"/>
    <w:rsid w:val="001C1DB3"/>
    <w:rsid w:val="001D36D5"/>
    <w:rsid w:val="001E1974"/>
    <w:rsid w:val="0023058D"/>
    <w:rsid w:val="0027586D"/>
    <w:rsid w:val="002918F6"/>
    <w:rsid w:val="002954F2"/>
    <w:rsid w:val="002A4506"/>
    <w:rsid w:val="002B265D"/>
    <w:rsid w:val="002B69C8"/>
    <w:rsid w:val="002D5E28"/>
    <w:rsid w:val="002F36FD"/>
    <w:rsid w:val="002F642B"/>
    <w:rsid w:val="00321907"/>
    <w:rsid w:val="003252DE"/>
    <w:rsid w:val="00350835"/>
    <w:rsid w:val="003521F0"/>
    <w:rsid w:val="003528A9"/>
    <w:rsid w:val="003957F5"/>
    <w:rsid w:val="003B5299"/>
    <w:rsid w:val="003C6111"/>
    <w:rsid w:val="003C7EAD"/>
    <w:rsid w:val="003D5656"/>
    <w:rsid w:val="00450A84"/>
    <w:rsid w:val="00482FC3"/>
    <w:rsid w:val="00497381"/>
    <w:rsid w:val="004A26E3"/>
    <w:rsid w:val="004A6C91"/>
    <w:rsid w:val="004C3B96"/>
    <w:rsid w:val="004D7EF3"/>
    <w:rsid w:val="005118DB"/>
    <w:rsid w:val="0052222E"/>
    <w:rsid w:val="00557037"/>
    <w:rsid w:val="00564CA4"/>
    <w:rsid w:val="00577B03"/>
    <w:rsid w:val="0059477A"/>
    <w:rsid w:val="00596FFB"/>
    <w:rsid w:val="005A5B3E"/>
    <w:rsid w:val="005C0CD8"/>
    <w:rsid w:val="005D3BD3"/>
    <w:rsid w:val="00602EDE"/>
    <w:rsid w:val="00603A02"/>
    <w:rsid w:val="006043B3"/>
    <w:rsid w:val="006400BF"/>
    <w:rsid w:val="00653698"/>
    <w:rsid w:val="0065781D"/>
    <w:rsid w:val="00661C86"/>
    <w:rsid w:val="00666FA3"/>
    <w:rsid w:val="00670B23"/>
    <w:rsid w:val="00672F4B"/>
    <w:rsid w:val="00676423"/>
    <w:rsid w:val="0069438C"/>
    <w:rsid w:val="006A129C"/>
    <w:rsid w:val="006A132A"/>
    <w:rsid w:val="006A265D"/>
    <w:rsid w:val="006D5FA5"/>
    <w:rsid w:val="006F3332"/>
    <w:rsid w:val="00712F59"/>
    <w:rsid w:val="0074077E"/>
    <w:rsid w:val="00741045"/>
    <w:rsid w:val="00752489"/>
    <w:rsid w:val="007747E3"/>
    <w:rsid w:val="00776BC9"/>
    <w:rsid w:val="0078692A"/>
    <w:rsid w:val="007B0C0F"/>
    <w:rsid w:val="007B7253"/>
    <w:rsid w:val="007D7027"/>
    <w:rsid w:val="008207BE"/>
    <w:rsid w:val="00824733"/>
    <w:rsid w:val="00855349"/>
    <w:rsid w:val="008845C2"/>
    <w:rsid w:val="008A0FC8"/>
    <w:rsid w:val="008A7577"/>
    <w:rsid w:val="008C02E2"/>
    <w:rsid w:val="0090429B"/>
    <w:rsid w:val="0090579A"/>
    <w:rsid w:val="009369BA"/>
    <w:rsid w:val="009373C8"/>
    <w:rsid w:val="00946C1B"/>
    <w:rsid w:val="009636AB"/>
    <w:rsid w:val="00963E5B"/>
    <w:rsid w:val="00973D77"/>
    <w:rsid w:val="00987299"/>
    <w:rsid w:val="009960D8"/>
    <w:rsid w:val="00997A3D"/>
    <w:rsid w:val="009B078C"/>
    <w:rsid w:val="009B25F5"/>
    <w:rsid w:val="009F0F71"/>
    <w:rsid w:val="00A2431C"/>
    <w:rsid w:val="00A25613"/>
    <w:rsid w:val="00A30725"/>
    <w:rsid w:val="00A45884"/>
    <w:rsid w:val="00A54D6B"/>
    <w:rsid w:val="00A70059"/>
    <w:rsid w:val="00A77445"/>
    <w:rsid w:val="00A8799B"/>
    <w:rsid w:val="00A87EC7"/>
    <w:rsid w:val="00AC401F"/>
    <w:rsid w:val="00AD5776"/>
    <w:rsid w:val="00AD60C0"/>
    <w:rsid w:val="00AE3FCA"/>
    <w:rsid w:val="00AF2478"/>
    <w:rsid w:val="00B01664"/>
    <w:rsid w:val="00B154B2"/>
    <w:rsid w:val="00B16ECF"/>
    <w:rsid w:val="00B22712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BF6E79"/>
    <w:rsid w:val="00C41EEE"/>
    <w:rsid w:val="00C57446"/>
    <w:rsid w:val="00C71554"/>
    <w:rsid w:val="00CB25A4"/>
    <w:rsid w:val="00CE7AE3"/>
    <w:rsid w:val="00D07281"/>
    <w:rsid w:val="00D53690"/>
    <w:rsid w:val="00D7092A"/>
    <w:rsid w:val="00D726B3"/>
    <w:rsid w:val="00DC4BEE"/>
    <w:rsid w:val="00DD4D64"/>
    <w:rsid w:val="00DF5C06"/>
    <w:rsid w:val="00DF71B5"/>
    <w:rsid w:val="00E10518"/>
    <w:rsid w:val="00E2666A"/>
    <w:rsid w:val="00E372EC"/>
    <w:rsid w:val="00E573E4"/>
    <w:rsid w:val="00E806EF"/>
    <w:rsid w:val="00E9130D"/>
    <w:rsid w:val="00EB175D"/>
    <w:rsid w:val="00EC6D0A"/>
    <w:rsid w:val="00ED00A1"/>
    <w:rsid w:val="00ED51B1"/>
    <w:rsid w:val="00EE2BFB"/>
    <w:rsid w:val="00EE5498"/>
    <w:rsid w:val="00F108F2"/>
    <w:rsid w:val="00F170F6"/>
    <w:rsid w:val="00F20F21"/>
    <w:rsid w:val="00F24CDF"/>
    <w:rsid w:val="00F32FF1"/>
    <w:rsid w:val="00F47FBA"/>
    <w:rsid w:val="00F5520F"/>
    <w:rsid w:val="00F751EE"/>
    <w:rsid w:val="00FA105C"/>
    <w:rsid w:val="00FA18EE"/>
    <w:rsid w:val="00FB0C99"/>
    <w:rsid w:val="00FC0341"/>
    <w:rsid w:val="00FC4584"/>
    <w:rsid w:val="00FD315E"/>
    <w:rsid w:val="00FD719F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A87EC7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character" w:customStyle="1" w:styleId="teaserdescription">
    <w:name w:val="teaserdescription"/>
    <w:basedOn w:val="DefaultParagraphFont"/>
    <w:rsid w:val="0099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6F137-45B2-6846-9528-3E1FE48B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2286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Microsoft Office User</cp:lastModifiedBy>
  <cp:revision>2</cp:revision>
  <cp:lastPrinted>2014-07-28T15:40:00Z</cp:lastPrinted>
  <dcterms:created xsi:type="dcterms:W3CDTF">2016-08-01T20:41:00Z</dcterms:created>
  <dcterms:modified xsi:type="dcterms:W3CDTF">2016-08-01T20:41:00Z</dcterms:modified>
  <cp:category/>
</cp:coreProperties>
</file>